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89" w:rsidRDefault="00897C89" w:rsidP="00897C89">
      <w:pPr>
        <w:spacing w:line="260" w:lineRule="exact"/>
        <w:jc w:val="both"/>
        <w:rPr>
          <w:rFonts w:eastAsia="@Arial Unicode MS" w:cs="Arial"/>
          <w:color w:val="000000"/>
          <w:szCs w:val="20"/>
          <w:lang w:val="sl-SI" w:eastAsia="sl-SI"/>
        </w:rPr>
      </w:pPr>
    </w:p>
    <w:p w:rsidR="00897C89" w:rsidRPr="00934B16" w:rsidRDefault="00897C89" w:rsidP="00934B16">
      <w:pPr>
        <w:spacing w:line="260" w:lineRule="exact"/>
        <w:jc w:val="center"/>
        <w:rPr>
          <w:rFonts w:eastAsia="@Arial Unicode MS" w:cs="Arial"/>
          <w:b/>
          <w:color w:val="000000"/>
          <w:szCs w:val="20"/>
          <w:lang w:val="sl-SI" w:eastAsia="sl-SI"/>
        </w:rPr>
      </w:pPr>
      <w:bookmarkStart w:id="0" w:name="_GoBack"/>
      <w:bookmarkEnd w:id="0"/>
      <w:r w:rsidRPr="00934B16">
        <w:rPr>
          <w:rFonts w:eastAsia="@Arial Unicode MS" w:cs="Arial"/>
          <w:b/>
          <w:color w:val="000000"/>
          <w:szCs w:val="20"/>
          <w:lang w:val="sl-SI" w:eastAsia="sl-SI"/>
        </w:rPr>
        <w:t>POJASNILO</w:t>
      </w:r>
      <w:r w:rsidR="00934B16" w:rsidRPr="00934B16">
        <w:rPr>
          <w:rFonts w:eastAsia="@Arial Unicode MS" w:cs="Arial"/>
          <w:b/>
          <w:color w:val="000000"/>
          <w:szCs w:val="20"/>
          <w:lang w:val="sl-SI" w:eastAsia="sl-SI"/>
        </w:rPr>
        <w:t xml:space="preserve"> K OSNUTK</w:t>
      </w:r>
      <w:r w:rsidR="00BC1642">
        <w:rPr>
          <w:rFonts w:eastAsia="@Arial Unicode MS" w:cs="Arial"/>
          <w:b/>
          <w:color w:val="000000"/>
          <w:szCs w:val="20"/>
          <w:lang w:val="sl-SI" w:eastAsia="sl-SI"/>
        </w:rPr>
        <w:t>U</w:t>
      </w:r>
      <w:r w:rsidR="00934B16" w:rsidRPr="00934B16">
        <w:rPr>
          <w:rFonts w:eastAsia="@Arial Unicode MS" w:cs="Arial"/>
          <w:b/>
          <w:color w:val="000000"/>
          <w:szCs w:val="20"/>
          <w:lang w:val="sl-SI" w:eastAsia="sl-SI"/>
        </w:rPr>
        <w:t xml:space="preserve"> UREDBE</w:t>
      </w:r>
      <w:r w:rsidRPr="00934B16">
        <w:rPr>
          <w:rFonts w:eastAsia="@Arial Unicode MS" w:cs="Arial"/>
          <w:b/>
          <w:color w:val="000000"/>
          <w:szCs w:val="20"/>
          <w:lang w:val="sl-SI" w:eastAsia="sl-SI"/>
        </w:rPr>
        <w:br/>
      </w:r>
    </w:p>
    <w:p w:rsidR="00897C89" w:rsidRDefault="00897C89" w:rsidP="00897C89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eastAsia="@Arial Unicode MS" w:cs="Arial"/>
          <w:color w:val="000000"/>
          <w:szCs w:val="20"/>
          <w:lang w:val="sl-SI" w:eastAsia="sl-SI"/>
        </w:rPr>
        <w:t>Območja za kmetijstvo in pridelavo hrane, ki so strateškega pomena za Republiko Slovenijo (v nadaljnjem besedilu: strateška območja za kmetijstvo in pridelavo hrane)</w:t>
      </w:r>
      <w:r w:rsidR="00EC05A0">
        <w:rPr>
          <w:rFonts w:eastAsia="@Arial Unicode MS" w:cs="Arial"/>
          <w:color w:val="000000"/>
          <w:szCs w:val="20"/>
          <w:lang w:val="sl-SI" w:eastAsia="sl-SI"/>
        </w:rPr>
        <w:t>,</w:t>
      </w:r>
      <w:r>
        <w:rPr>
          <w:rFonts w:eastAsia="@Arial Unicode MS" w:cs="Arial"/>
          <w:color w:val="000000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 xml:space="preserve">predstavljajo </w:t>
      </w:r>
      <w:r w:rsidRPr="00897C89">
        <w:rPr>
          <w:rFonts w:cs="Arial"/>
          <w:b/>
          <w:szCs w:val="20"/>
          <w:lang w:val="sl-SI" w:eastAsia="sl-SI"/>
        </w:rPr>
        <w:t xml:space="preserve">potencialna območja </w:t>
      </w:r>
      <w:r w:rsidRPr="00934B16">
        <w:rPr>
          <w:rFonts w:cs="Arial"/>
          <w:szCs w:val="20"/>
          <w:lang w:val="sl-SI" w:eastAsia="sl-SI"/>
        </w:rPr>
        <w:t>trajno varovanih kmetijskih zemljišč</w:t>
      </w:r>
      <w:r w:rsidR="00934B16">
        <w:rPr>
          <w:rFonts w:cs="Arial"/>
          <w:szCs w:val="20"/>
          <w:lang w:val="sl-SI" w:eastAsia="sl-SI"/>
        </w:rPr>
        <w:t xml:space="preserve">. </w:t>
      </w:r>
      <w:r>
        <w:rPr>
          <w:rFonts w:eastAsia="@Arial Unicode MS" w:cs="Arial"/>
          <w:szCs w:val="20"/>
          <w:lang w:val="sl-SI" w:eastAsia="sl-SI"/>
        </w:rPr>
        <w:t xml:space="preserve">Podlaga za določitev </w:t>
      </w:r>
      <w:r w:rsidRPr="00897C89">
        <w:rPr>
          <w:rFonts w:eastAsia="@Arial Unicode MS" w:cs="Arial"/>
          <w:b/>
          <w:szCs w:val="20"/>
          <w:lang w:val="sl-SI" w:eastAsia="sl-SI"/>
        </w:rPr>
        <w:t xml:space="preserve">območij </w:t>
      </w:r>
      <w:r w:rsidRPr="00897C89">
        <w:rPr>
          <w:rFonts w:cs="Arial"/>
          <w:b/>
          <w:szCs w:val="20"/>
          <w:lang w:val="sl-SI" w:eastAsia="sl-SI"/>
        </w:rPr>
        <w:t>trajno varovanih kmetijskih zemljišč</w:t>
      </w:r>
      <w:r>
        <w:rPr>
          <w:rFonts w:cs="Arial"/>
          <w:b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>
        <w:rPr>
          <w:rFonts w:eastAsia="@Arial Unicode MS" w:cs="Arial"/>
          <w:color w:val="000000"/>
          <w:szCs w:val="20"/>
          <w:lang w:val="sl-SI" w:eastAsia="sl-SI"/>
        </w:rPr>
        <w:t>v nadaljnjem besedilu: TVKZ)</w:t>
      </w:r>
      <w:r>
        <w:rPr>
          <w:rFonts w:cs="Arial"/>
          <w:szCs w:val="20"/>
          <w:lang w:val="sl-SI" w:eastAsia="sl-SI"/>
        </w:rPr>
        <w:t xml:space="preserve"> </w:t>
      </w:r>
      <w:r>
        <w:rPr>
          <w:rFonts w:eastAsia="@Arial Unicode MS" w:cs="Arial"/>
          <w:szCs w:val="20"/>
          <w:lang w:val="sl-SI" w:eastAsia="sl-SI"/>
        </w:rPr>
        <w:t xml:space="preserve">v prostorskih aktih lokalnih skupnosti bo namreč </w:t>
      </w:r>
      <w:r w:rsidRPr="00897C89">
        <w:rPr>
          <w:rFonts w:eastAsia="@Arial Unicode MS" w:cs="Arial"/>
          <w:b/>
          <w:szCs w:val="20"/>
          <w:lang w:val="sl-SI" w:eastAsia="sl-SI"/>
        </w:rPr>
        <w:t>strokovna podlaga s področja kmetijstva</w:t>
      </w:r>
      <w:r>
        <w:rPr>
          <w:rFonts w:eastAsia="@Arial Unicode MS" w:cs="Arial"/>
          <w:szCs w:val="20"/>
          <w:lang w:val="sl-SI" w:eastAsia="sl-SI"/>
        </w:rPr>
        <w:t>.</w:t>
      </w:r>
      <w:r>
        <w:rPr>
          <w:rFonts w:cs="Arial"/>
          <w:szCs w:val="20"/>
          <w:lang w:val="sl-SI"/>
        </w:rPr>
        <w:t xml:space="preserve"> Pri strokovni podlagi s področja kmetijstva gre za izključno sektorsko strokovno podlago, s katero bo ministrstvo, pristojno za kmetijska zemljišča, kot nosilec urejanja prostora vstopalo v postopek priprave in sprejemanja prostorskega akta lokalne skupnosti. Rezultat strokovne podlage </w:t>
      </w:r>
      <w:r w:rsidR="00934B16">
        <w:rPr>
          <w:rFonts w:cs="Arial"/>
          <w:szCs w:val="20"/>
          <w:lang w:val="sl-SI"/>
        </w:rPr>
        <w:t xml:space="preserve">s področja kmetijstva </w:t>
      </w:r>
      <w:r>
        <w:rPr>
          <w:rFonts w:cs="Arial"/>
          <w:szCs w:val="20"/>
          <w:lang w:val="sl-SI"/>
        </w:rPr>
        <w:t xml:space="preserve">bo </w:t>
      </w:r>
      <w:r w:rsidRPr="00897C89">
        <w:rPr>
          <w:rFonts w:cs="Arial"/>
          <w:b/>
          <w:szCs w:val="20"/>
          <w:lang w:val="sl-SI"/>
        </w:rPr>
        <w:t>predlog</w:t>
      </w:r>
      <w:r>
        <w:rPr>
          <w:rFonts w:cs="Arial"/>
          <w:szCs w:val="20"/>
          <w:lang w:val="sl-SI"/>
        </w:rPr>
        <w:t xml:space="preserve"> </w:t>
      </w:r>
      <w:r w:rsidRPr="00897C89">
        <w:rPr>
          <w:rFonts w:cs="Arial"/>
          <w:b/>
          <w:szCs w:val="20"/>
          <w:lang w:val="sl-SI"/>
        </w:rPr>
        <w:t xml:space="preserve">območij </w:t>
      </w:r>
      <w:r w:rsidR="00934B16">
        <w:rPr>
          <w:rFonts w:cs="Arial"/>
          <w:b/>
          <w:szCs w:val="20"/>
          <w:lang w:val="sl-SI"/>
        </w:rPr>
        <w:t>TVKZ</w:t>
      </w:r>
      <w:r w:rsidR="00934B16" w:rsidRPr="00897C89">
        <w:rPr>
          <w:rFonts w:cs="Arial"/>
          <w:b/>
          <w:szCs w:val="20"/>
          <w:lang w:val="sl-SI"/>
        </w:rPr>
        <w:t xml:space="preserve"> </w:t>
      </w:r>
      <w:r w:rsidRPr="00A83613">
        <w:rPr>
          <w:rFonts w:cs="Arial"/>
          <w:szCs w:val="20"/>
          <w:lang w:val="sl-SI"/>
        </w:rPr>
        <w:t>in ostalih kmetijskih zemljišč</w:t>
      </w:r>
      <w:r>
        <w:rPr>
          <w:rFonts w:cs="Arial"/>
          <w:szCs w:val="20"/>
          <w:lang w:val="sl-SI"/>
        </w:rPr>
        <w:t xml:space="preserve">. </w:t>
      </w:r>
    </w:p>
    <w:p w:rsidR="00897C89" w:rsidRDefault="00897C89" w:rsidP="00897C89">
      <w:pPr>
        <w:spacing w:line="260" w:lineRule="exact"/>
        <w:jc w:val="both"/>
        <w:rPr>
          <w:rFonts w:cs="Arial"/>
          <w:szCs w:val="20"/>
          <w:lang w:val="sl-SI" w:eastAsia="sl-SI"/>
        </w:rPr>
      </w:pPr>
    </w:p>
    <w:p w:rsidR="00897C89" w:rsidRPr="00897C89" w:rsidRDefault="00897C89" w:rsidP="00897C89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897C89">
        <w:rPr>
          <w:rFonts w:cs="Arial"/>
          <w:szCs w:val="20"/>
          <w:lang w:val="sl-SI" w:eastAsia="sl-SI"/>
        </w:rPr>
        <w:t>Podrobnejš</w:t>
      </w:r>
      <w:r w:rsidR="00EC05A0">
        <w:rPr>
          <w:rFonts w:cs="Arial"/>
          <w:szCs w:val="20"/>
          <w:lang w:val="sl-SI" w:eastAsia="sl-SI"/>
        </w:rPr>
        <w:t>e pogoje</w:t>
      </w:r>
      <w:r w:rsidRPr="00897C89">
        <w:rPr>
          <w:rFonts w:cs="Arial"/>
          <w:szCs w:val="20"/>
          <w:lang w:val="sl-SI" w:eastAsia="sl-SI"/>
        </w:rPr>
        <w:t xml:space="preserve"> za</w:t>
      </w:r>
      <w:r w:rsidRPr="00897C89">
        <w:rPr>
          <w:rFonts w:cs="Arial"/>
          <w:b/>
          <w:szCs w:val="20"/>
          <w:lang w:val="sl-SI" w:eastAsia="sl-SI"/>
        </w:rPr>
        <w:t xml:space="preserve"> </w:t>
      </w:r>
      <w:r w:rsidRPr="00897C89">
        <w:rPr>
          <w:rFonts w:cs="Arial"/>
          <w:szCs w:val="20"/>
          <w:lang w:val="sl-SI" w:eastAsia="sl-SI"/>
        </w:rPr>
        <w:t>določitev</w:t>
      </w:r>
      <w:r w:rsidRPr="00897C89">
        <w:rPr>
          <w:rFonts w:cs="Arial"/>
          <w:b/>
          <w:szCs w:val="20"/>
          <w:lang w:val="sl-SI" w:eastAsia="sl-SI"/>
        </w:rPr>
        <w:t xml:space="preserve"> predloga območij TVKZ</w:t>
      </w:r>
      <w:r w:rsidRPr="00897C89">
        <w:rPr>
          <w:rFonts w:cs="Arial"/>
          <w:szCs w:val="20"/>
          <w:lang w:val="sl-SI" w:eastAsia="sl-SI"/>
        </w:rPr>
        <w:t xml:space="preserve"> bo določal podzakonski predpis ministra (v nadaljnjem besedilu: pravilnik). Predvideno je, da bo pravilnik poleg podrobnejših pogojev za</w:t>
      </w:r>
      <w:r>
        <w:rPr>
          <w:rFonts w:cs="Arial"/>
          <w:szCs w:val="20"/>
          <w:lang w:val="sl-SI" w:eastAsia="sl-SI"/>
        </w:rPr>
        <w:t xml:space="preserve"> določitev predloga območij TVKZ (po 3.c členu ZKZ)</w:t>
      </w:r>
      <w:r w:rsidRPr="00897C89">
        <w:rPr>
          <w:rFonts w:cs="Arial"/>
          <w:szCs w:val="20"/>
          <w:lang w:val="sl-SI" w:eastAsia="sl-SI"/>
        </w:rPr>
        <w:t xml:space="preserve"> vseboval tudi </w:t>
      </w:r>
      <w:r w:rsidRPr="00897C89">
        <w:rPr>
          <w:rFonts w:cs="Arial"/>
          <w:b/>
          <w:szCs w:val="20"/>
          <w:lang w:val="sl-SI" w:eastAsia="sl-SI"/>
        </w:rPr>
        <w:t>usmeritve za določanje predloga območij TVKZ</w:t>
      </w:r>
      <w:r w:rsidRPr="00897C89">
        <w:rPr>
          <w:rFonts w:cs="Arial"/>
          <w:szCs w:val="20"/>
          <w:lang w:val="sl-SI" w:eastAsia="sl-SI"/>
        </w:rPr>
        <w:t xml:space="preserve"> </w:t>
      </w:r>
      <w:r w:rsidRPr="00897C89">
        <w:rPr>
          <w:rFonts w:cs="Arial"/>
          <w:b/>
          <w:szCs w:val="20"/>
          <w:lang w:val="sl-SI" w:eastAsia="sl-SI"/>
        </w:rPr>
        <w:t>po posameznih podtipih strateških območij</w:t>
      </w:r>
      <w:r>
        <w:rPr>
          <w:rFonts w:cs="Arial"/>
          <w:szCs w:val="20"/>
          <w:lang w:val="sl-SI" w:eastAsia="sl-SI"/>
        </w:rPr>
        <w:t xml:space="preserve"> za kmetijstvo in pridelavo hrane, </w:t>
      </w:r>
      <w:r w:rsidRPr="00897C89">
        <w:rPr>
          <w:rFonts w:cs="Arial"/>
          <w:b/>
          <w:szCs w:val="20"/>
          <w:lang w:val="sl-SI" w:eastAsia="sl-SI"/>
        </w:rPr>
        <w:t>usmeritev glede upoštevanja državnih prostorskih načrtov</w:t>
      </w:r>
      <w:r w:rsidRPr="00897C89">
        <w:rPr>
          <w:rFonts w:cs="Arial"/>
          <w:szCs w:val="20"/>
          <w:lang w:val="sl-SI" w:eastAsia="sl-SI"/>
        </w:rPr>
        <w:t xml:space="preserve"> ter </w:t>
      </w:r>
      <w:r w:rsidRPr="00897C89">
        <w:rPr>
          <w:rFonts w:cs="Arial"/>
          <w:b/>
          <w:szCs w:val="20"/>
          <w:lang w:val="sl-SI" w:eastAsia="sl-SI"/>
        </w:rPr>
        <w:t>zavarovanih, varstvenih in ogroženih območij</w:t>
      </w:r>
      <w:r w:rsidRPr="00897C89">
        <w:rPr>
          <w:rFonts w:cs="Arial"/>
          <w:szCs w:val="20"/>
          <w:lang w:val="sl-SI" w:eastAsia="sl-SI"/>
        </w:rPr>
        <w:t xml:space="preserve">. </w:t>
      </w:r>
      <w:r w:rsidRPr="00897C89">
        <w:rPr>
          <w:rFonts w:cs="Arial"/>
          <w:szCs w:val="20"/>
          <w:u w:val="single"/>
          <w:lang w:val="sl-SI" w:eastAsia="sl-SI"/>
        </w:rPr>
        <w:t>Priporočila</w:t>
      </w:r>
      <w:r w:rsidRPr="00897C89">
        <w:rPr>
          <w:rFonts w:cs="Arial"/>
          <w:szCs w:val="20"/>
          <w:lang w:val="sl-SI" w:eastAsia="sl-SI"/>
        </w:rPr>
        <w:t xml:space="preserve"> glede upoštevanja državnih prostorskih načrtov ter zavarovanih, varstvenih in ogroženih območij pri </w:t>
      </w:r>
      <w:r w:rsidRPr="00EC05A0">
        <w:rPr>
          <w:rFonts w:cs="Arial"/>
          <w:szCs w:val="20"/>
          <w:u w:val="single"/>
          <w:lang w:val="sl-SI" w:eastAsia="sl-SI"/>
        </w:rPr>
        <w:t>določitvi predloga območij TVKZ</w:t>
      </w:r>
      <w:r w:rsidRPr="00897C89">
        <w:rPr>
          <w:rFonts w:cs="Arial"/>
          <w:szCs w:val="20"/>
          <w:lang w:val="sl-SI" w:eastAsia="sl-SI"/>
        </w:rPr>
        <w:t xml:space="preserve"> je </w:t>
      </w:r>
      <w:r w:rsidRPr="00897C89">
        <w:rPr>
          <w:rFonts w:cs="Arial"/>
          <w:szCs w:val="20"/>
          <w:u w:val="single"/>
          <w:lang w:val="sl-SI" w:eastAsia="sl-SI"/>
        </w:rPr>
        <w:t>podala že strokovna podlaga</w:t>
      </w:r>
      <w:r w:rsidRPr="00897C89">
        <w:rPr>
          <w:rFonts w:cs="Arial"/>
          <w:szCs w:val="20"/>
          <w:lang w:val="sl-SI" w:eastAsia="sl-SI"/>
        </w:rPr>
        <w:t xml:space="preserve"> za pripravo uredbe. Predvideno je, da bo </w:t>
      </w:r>
      <w:r>
        <w:rPr>
          <w:rFonts w:cs="Arial"/>
          <w:szCs w:val="20"/>
          <w:lang w:val="sl-SI" w:eastAsia="sl-SI"/>
        </w:rPr>
        <w:t>pravilnik</w:t>
      </w:r>
      <w:r w:rsidRPr="00897C89">
        <w:rPr>
          <w:rFonts w:cs="Arial"/>
          <w:szCs w:val="20"/>
          <w:lang w:val="sl-SI" w:eastAsia="sl-SI"/>
        </w:rPr>
        <w:t xml:space="preserve"> določal katere državne prostorske načrte (in na kakšen način) se upošteva pri pripravi predloga območij TVKZ ter katera območja se lahko iz predloga območij TVKZ izloča (npr. območja redkih poplav s petletno povratno dobo (Q5), erozijska in plazovita območja, območja kritično onesnaženih tal, območja varovalnih gozdov in gozdov s posebnim namenom, najožje vodovarstveno območje). </w:t>
      </w:r>
    </w:p>
    <w:p w:rsidR="00897C89" w:rsidRDefault="00897C89" w:rsidP="00897C89">
      <w:pPr>
        <w:spacing w:line="260" w:lineRule="exact"/>
        <w:jc w:val="both"/>
        <w:rPr>
          <w:rFonts w:eastAsia="@Arial Unicode MS" w:cs="Arial"/>
          <w:szCs w:val="20"/>
          <w:lang w:val="sl-SI" w:eastAsia="sl-SI"/>
        </w:rPr>
      </w:pPr>
    </w:p>
    <w:p w:rsidR="00897C89" w:rsidRDefault="00897C89" w:rsidP="00897C89">
      <w:pPr>
        <w:tabs>
          <w:tab w:val="left" w:pos="28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szCs w:val="20"/>
          <w:lang w:val="sl-SI"/>
        </w:rPr>
      </w:pPr>
      <w:r w:rsidRPr="000D12E7">
        <w:rPr>
          <w:rFonts w:cs="Arial"/>
          <w:b/>
          <w:szCs w:val="20"/>
          <w:u w:val="single"/>
          <w:lang w:val="sl-SI"/>
        </w:rPr>
        <w:t>Območja trajno varovanih in ostalih kmetijskih zemljišč</w:t>
      </w:r>
      <w:r>
        <w:rPr>
          <w:rFonts w:cs="Arial"/>
          <w:szCs w:val="20"/>
          <w:lang w:val="sl-SI"/>
        </w:rPr>
        <w:t xml:space="preserve"> bodo nato, ob </w:t>
      </w:r>
      <w:r w:rsidRPr="000D12E7">
        <w:rPr>
          <w:rFonts w:cs="Arial"/>
          <w:b/>
          <w:szCs w:val="20"/>
          <w:lang w:val="sl-SI"/>
        </w:rPr>
        <w:t>usklajevanju razvojnih dokumentov nosilcev urejanja prostora</w:t>
      </w:r>
      <w:r>
        <w:rPr>
          <w:rFonts w:cs="Arial"/>
          <w:szCs w:val="20"/>
          <w:lang w:val="sl-SI"/>
        </w:rPr>
        <w:t xml:space="preserve">, </w:t>
      </w:r>
      <w:r w:rsidRPr="000D12E7">
        <w:rPr>
          <w:rFonts w:cs="Arial"/>
          <w:b/>
          <w:bCs/>
          <w:color w:val="000000"/>
          <w:szCs w:val="20"/>
          <w:lang w:val="sl-SI"/>
        </w:rPr>
        <w:t>upoštevanju varstvenih režimov</w:t>
      </w:r>
      <w:r>
        <w:rPr>
          <w:rFonts w:cs="Arial"/>
          <w:bCs/>
          <w:color w:val="000000"/>
          <w:szCs w:val="20"/>
          <w:lang w:val="sl-SI"/>
        </w:rPr>
        <w:t xml:space="preserve"> po predpisih s področja ohranjanja narave in varstva okolja, voda, gozdov in kulturne dediščine</w:t>
      </w:r>
      <w:r>
        <w:rPr>
          <w:rFonts w:cs="Arial"/>
          <w:szCs w:val="20"/>
          <w:lang w:val="sl-SI"/>
        </w:rPr>
        <w:t xml:space="preserve"> ter </w:t>
      </w:r>
      <w:r w:rsidRPr="000D12E7">
        <w:rPr>
          <w:rFonts w:cs="Arial"/>
          <w:b/>
          <w:szCs w:val="20"/>
          <w:lang w:val="sl-SI"/>
        </w:rPr>
        <w:t>razvojnih interesov občine</w:t>
      </w:r>
      <w:r>
        <w:rPr>
          <w:rFonts w:cs="Arial"/>
          <w:szCs w:val="20"/>
          <w:lang w:val="sl-SI"/>
        </w:rPr>
        <w:t xml:space="preserve">, </w:t>
      </w:r>
      <w:r w:rsidRPr="00EC05A0">
        <w:rPr>
          <w:rFonts w:cs="Arial"/>
          <w:b/>
          <w:szCs w:val="20"/>
          <w:u w:val="single"/>
          <w:lang w:val="sl-SI"/>
        </w:rPr>
        <w:t>določena v postopku priprave prostorskih aktov lokalnih skupnosti</w:t>
      </w:r>
      <w:r>
        <w:rPr>
          <w:rFonts w:cs="Arial"/>
          <w:szCs w:val="20"/>
          <w:lang w:val="sl-SI"/>
        </w:rPr>
        <w:t xml:space="preserve">. </w:t>
      </w:r>
    </w:p>
    <w:p w:rsidR="00897C89" w:rsidRDefault="00897C89" w:rsidP="00897C89">
      <w:pPr>
        <w:tabs>
          <w:tab w:val="left" w:pos="28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szCs w:val="20"/>
          <w:lang w:val="sl-SI"/>
        </w:rPr>
      </w:pPr>
    </w:p>
    <w:p w:rsidR="0029066F" w:rsidRPr="00C1343B" w:rsidRDefault="0029066F" w:rsidP="0029066F">
      <w:pPr>
        <w:tabs>
          <w:tab w:val="left" w:pos="284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szCs w:val="20"/>
          <w:lang w:val="sl-SI"/>
        </w:rPr>
      </w:pPr>
      <w:r w:rsidRPr="00C1343B">
        <w:rPr>
          <w:rFonts w:cs="Arial"/>
          <w:szCs w:val="20"/>
          <w:lang w:val="sl-SI"/>
        </w:rPr>
        <w:t>Določitev TVKZ v prostorskih aktih lokalnih skupnosti je namenjena</w:t>
      </w:r>
      <w:r w:rsidRPr="0029066F">
        <w:rPr>
          <w:rFonts w:cs="Arial"/>
          <w:b/>
          <w:szCs w:val="20"/>
          <w:lang w:val="sl-SI"/>
        </w:rPr>
        <w:t xml:space="preserve"> izključno ohranjanju naravnega vira, pomembnega za pridelavo hrane.</w:t>
      </w:r>
      <w:r w:rsidRPr="00C1343B">
        <w:rPr>
          <w:rFonts w:cs="Arial"/>
          <w:szCs w:val="20"/>
          <w:lang w:val="sl-SI"/>
        </w:rPr>
        <w:t xml:space="preserve"> Navedeno pomeni, da TVKZ </w:t>
      </w:r>
      <w:r w:rsidRPr="0029066F">
        <w:rPr>
          <w:rFonts w:cs="Arial"/>
          <w:b/>
          <w:szCs w:val="20"/>
          <w:lang w:val="sl-SI"/>
        </w:rPr>
        <w:t>ne regulirajo</w:t>
      </w:r>
      <w:r w:rsidRPr="00C1343B">
        <w:rPr>
          <w:rFonts w:cs="Arial"/>
          <w:szCs w:val="20"/>
          <w:lang w:val="sl-SI"/>
        </w:rPr>
        <w:t xml:space="preserve"> </w:t>
      </w:r>
      <w:r w:rsidRPr="0029066F">
        <w:rPr>
          <w:rFonts w:cs="Arial"/>
          <w:szCs w:val="20"/>
          <w:u w:val="single"/>
          <w:lang w:val="sl-SI"/>
        </w:rPr>
        <w:t>kmetijske kulture</w:t>
      </w:r>
      <w:r w:rsidRPr="00C1343B">
        <w:rPr>
          <w:rFonts w:cs="Arial"/>
          <w:szCs w:val="20"/>
          <w:lang w:val="sl-SI"/>
        </w:rPr>
        <w:t xml:space="preserve">, </w:t>
      </w:r>
      <w:r w:rsidRPr="0029066F">
        <w:rPr>
          <w:rFonts w:cs="Arial"/>
          <w:szCs w:val="20"/>
          <w:u w:val="single"/>
          <w:lang w:val="sl-SI"/>
        </w:rPr>
        <w:t>načina rabe in pridelave</w:t>
      </w:r>
      <w:r w:rsidRPr="00C1343B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ter</w:t>
      </w:r>
      <w:r w:rsidRPr="00C1343B">
        <w:rPr>
          <w:rFonts w:cs="Arial"/>
          <w:szCs w:val="20"/>
          <w:lang w:val="sl-SI"/>
        </w:rPr>
        <w:t xml:space="preserve"> </w:t>
      </w:r>
      <w:r w:rsidRPr="0029066F">
        <w:rPr>
          <w:rFonts w:cs="Arial"/>
          <w:szCs w:val="20"/>
          <w:u w:val="single"/>
          <w:lang w:val="sl-SI"/>
        </w:rPr>
        <w:t>izvajanje agrarnih operacij</w:t>
      </w:r>
      <w:r w:rsidRPr="00C1343B">
        <w:rPr>
          <w:rFonts w:cs="Arial"/>
          <w:szCs w:val="20"/>
          <w:lang w:val="sl-SI"/>
        </w:rPr>
        <w:t xml:space="preserve">, prav tako pa </w:t>
      </w:r>
      <w:r>
        <w:rPr>
          <w:rFonts w:cs="Arial"/>
          <w:b/>
          <w:szCs w:val="20"/>
          <w:lang w:val="sl-SI"/>
        </w:rPr>
        <w:t>ne negirajo ostalih ciljev in varstvenih r</w:t>
      </w:r>
      <w:r w:rsidRPr="0029066F">
        <w:rPr>
          <w:rFonts w:cs="Arial"/>
          <w:b/>
          <w:szCs w:val="20"/>
          <w:lang w:val="sl-SI"/>
        </w:rPr>
        <w:t>ežimov</w:t>
      </w:r>
      <w:r w:rsidRPr="00C1343B">
        <w:rPr>
          <w:rFonts w:cs="Arial"/>
          <w:szCs w:val="20"/>
          <w:lang w:val="sl-SI"/>
        </w:rPr>
        <w:t xml:space="preserve"> (npr. ohranjanje narave, varstvo okolja, varstvo kulturne dediščine, varstvo voda).</w:t>
      </w:r>
      <w:r>
        <w:rPr>
          <w:rFonts w:cs="Arial"/>
          <w:szCs w:val="20"/>
          <w:lang w:val="sl-SI"/>
        </w:rPr>
        <w:t xml:space="preserve"> </w:t>
      </w:r>
    </w:p>
    <w:p w:rsidR="00897C89" w:rsidRDefault="00897C89" w:rsidP="0029066F">
      <w:pPr>
        <w:spacing w:line="276" w:lineRule="auto"/>
        <w:jc w:val="both"/>
        <w:rPr>
          <w:rFonts w:cs="Arial"/>
          <w:szCs w:val="20"/>
          <w:lang w:val="sl-SI"/>
        </w:rPr>
      </w:pPr>
    </w:p>
    <w:sectPr w:rsidR="0089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B1976"/>
    <w:multiLevelType w:val="hybridMultilevel"/>
    <w:tmpl w:val="1236EFA0"/>
    <w:lvl w:ilvl="0" w:tplc="D3B0BC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E60BC"/>
    <w:multiLevelType w:val="hybridMultilevel"/>
    <w:tmpl w:val="C3F296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89"/>
    <w:rsid w:val="000D12E7"/>
    <w:rsid w:val="0029066F"/>
    <w:rsid w:val="002B396F"/>
    <w:rsid w:val="00897C89"/>
    <w:rsid w:val="00934B16"/>
    <w:rsid w:val="00A83613"/>
    <w:rsid w:val="00BC1642"/>
    <w:rsid w:val="00C167AB"/>
    <w:rsid w:val="00D02EFF"/>
    <w:rsid w:val="00D1173D"/>
    <w:rsid w:val="00E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3CC1-4FB2-4EF2-A8B0-B8D6FC5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C8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97C89"/>
    <w:rPr>
      <w:rFonts w:ascii="Calibri" w:eastAsia="Calibri" w:hAnsi="Calibri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897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character" w:customStyle="1" w:styleId="NASLOV2Char">
    <w:name w:val="NASLOV2 Char"/>
    <w:basedOn w:val="Privzetapisavaodstavka"/>
    <w:link w:val="NASLOV2"/>
    <w:locked/>
    <w:rsid w:val="00897C8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2">
    <w:name w:val="NASLOV2"/>
    <w:basedOn w:val="Navaden"/>
    <w:link w:val="NASLOV2Char"/>
    <w:qFormat/>
    <w:rsid w:val="00897C89"/>
    <w:pPr>
      <w:spacing w:line="240" w:lineRule="auto"/>
      <w:ind w:left="709" w:hanging="360"/>
      <w:outlineLvl w:val="1"/>
    </w:pPr>
    <w:rPr>
      <w:rFonts w:ascii="Times New Roman" w:hAnsi="Times New Roman"/>
      <w:sz w:val="24"/>
      <w:lang w:val="sl-SI" w:eastAsia="sl-SI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897C8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Pozar</dc:creator>
  <cp:lastModifiedBy>URŠA RUPAR</cp:lastModifiedBy>
  <cp:revision>2</cp:revision>
  <dcterms:created xsi:type="dcterms:W3CDTF">2016-03-11T13:05:00Z</dcterms:created>
  <dcterms:modified xsi:type="dcterms:W3CDTF">2016-03-11T13:05:00Z</dcterms:modified>
</cp:coreProperties>
</file>