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D2" w:rsidRPr="00C108CE" w:rsidRDefault="006767D2" w:rsidP="00C108CE">
      <w:pPr>
        <w:pStyle w:val="RS-tabela-odstotek"/>
        <w:jc w:val="both"/>
        <w:rPr>
          <w:b/>
          <w:sz w:val="24"/>
        </w:rPr>
      </w:pPr>
      <w:bookmarkStart w:id="0" w:name="_GoBack"/>
      <w:bookmarkEnd w:id="0"/>
      <w:r w:rsidRPr="00C108CE">
        <w:rPr>
          <w:b/>
          <w:sz w:val="24"/>
        </w:rPr>
        <w:t>Povzetki ugotovitev glede pravilnosti in uspešnosti poslovanja iz zbirnega poročila o delovanju NO dvajsetih občin v letih 2003 in 2004</w:t>
      </w:r>
    </w:p>
    <w:p w:rsidR="006767D2" w:rsidRPr="00C108CE" w:rsidRDefault="006767D2" w:rsidP="00C108CE">
      <w:pPr>
        <w:pStyle w:val="RStekst"/>
        <w:rPr>
          <w:b/>
          <w:sz w:val="24"/>
        </w:rPr>
      </w:pPr>
    </w:p>
    <w:p w:rsidR="006767D2" w:rsidRDefault="006767D2" w:rsidP="00C108CE">
      <w:pPr>
        <w:pStyle w:val="RStekst"/>
        <w:rPr>
          <w:b/>
        </w:rPr>
      </w:pPr>
    </w:p>
    <w:p w:rsidR="006767D2" w:rsidRPr="0052545E" w:rsidRDefault="006767D2" w:rsidP="00C108CE">
      <w:pPr>
        <w:pStyle w:val="RStekst"/>
        <w:rPr>
          <w:b/>
        </w:rPr>
      </w:pPr>
      <w:r>
        <w:rPr>
          <w:b/>
        </w:rPr>
        <w:t xml:space="preserve">A) </w:t>
      </w:r>
      <w:r w:rsidRPr="00B85A5E">
        <w:rPr>
          <w:b/>
        </w:rPr>
        <w:t>Ugotovitve, ki se nanašajo na strukturo in delovanje nadzornega odbora:</w:t>
      </w:r>
    </w:p>
    <w:p w:rsidR="006767D2" w:rsidRDefault="006767D2" w:rsidP="00C108CE">
      <w:pPr>
        <w:pStyle w:val="RStekst"/>
      </w:pPr>
      <w:r>
        <w:t>PRAVILNOST POSLOVANJA</w:t>
      </w:r>
    </w:p>
    <w:tbl>
      <w:tblPr>
        <w:tblW w:w="0" w:type="auto"/>
        <w:tblBorders>
          <w:top w:val="single" w:sz="4" w:space="0" w:color="auto"/>
          <w:bottom w:val="single" w:sz="4" w:space="0" w:color="auto"/>
          <w:insideH w:val="single" w:sz="4" w:space="0" w:color="auto"/>
        </w:tblBorders>
        <w:tblLook w:val="00A0"/>
      </w:tblPr>
      <w:tblGrid>
        <w:gridCol w:w="9248"/>
      </w:tblGrid>
      <w:tr w:rsidR="006767D2" w:rsidTr="00DB3375">
        <w:tc>
          <w:tcPr>
            <w:tcW w:w="9248" w:type="dxa"/>
          </w:tcPr>
          <w:p w:rsidR="006767D2" w:rsidRPr="00DB3375" w:rsidRDefault="006767D2" w:rsidP="00DB3375">
            <w:pPr>
              <w:pStyle w:val="RStekst"/>
              <w:numPr>
                <w:ilvl w:val="0"/>
                <w:numId w:val="20"/>
              </w:numPr>
              <w:rPr>
                <w:b/>
              </w:rPr>
            </w:pPr>
            <w:r w:rsidRPr="00DB3375">
              <w:rPr>
                <w:b/>
              </w:rPr>
              <w:t>Oblikovanje NO in imenovanje članov NO</w:t>
            </w:r>
          </w:p>
        </w:tc>
      </w:tr>
      <w:tr w:rsidR="006767D2" w:rsidTr="00DB3375">
        <w:tc>
          <w:tcPr>
            <w:tcW w:w="9248" w:type="dxa"/>
          </w:tcPr>
          <w:p w:rsidR="006767D2" w:rsidRPr="00DB3375" w:rsidRDefault="006767D2" w:rsidP="00DB3375">
            <w:pPr>
              <w:pStyle w:val="RSnatevanje"/>
              <w:numPr>
                <w:ilvl w:val="0"/>
                <w:numId w:val="3"/>
              </w:numPr>
            </w:pPr>
            <w:r w:rsidRPr="00DB3375">
              <w:t>Občinski svetobčine je razrešil člane NO na predlog odbora OS, ne da bi nastali razlogi, ki po 37.a členu ZLS (v povezavi s 32.a členom ZLS) pogojujejo oziroma dopuščajo razrešitev članov NO, in ne da bi razrešitev predlagal s Statutom občine predvideni organ, to je NO; z nezakonitim posegom je hudo kršil njegovo avtonomnost.</w:t>
            </w:r>
          </w:p>
        </w:tc>
      </w:tr>
      <w:tr w:rsidR="006767D2" w:rsidTr="00DB3375">
        <w:tc>
          <w:tcPr>
            <w:tcW w:w="9248" w:type="dxa"/>
          </w:tcPr>
          <w:p w:rsidR="006767D2" w:rsidRPr="00DB3375" w:rsidRDefault="006767D2" w:rsidP="00DB3375">
            <w:pPr>
              <w:pStyle w:val="RSnatevanje"/>
              <w:numPr>
                <w:ilvl w:val="0"/>
                <w:numId w:val="3"/>
              </w:numPr>
            </w:pPr>
            <w:r w:rsidRPr="00DB3375">
              <w:t>Občinski svetobčine po odstopu članov NO ni sprejel sklepa, da so nastali razlogi za prenehanje mandata, kot predvideva 37.a člen ZLS (v povezavi z 32.a členom ZLS).</w:t>
            </w:r>
          </w:p>
        </w:tc>
      </w:tr>
      <w:tr w:rsidR="006767D2" w:rsidTr="00DB3375">
        <w:tc>
          <w:tcPr>
            <w:tcW w:w="9248" w:type="dxa"/>
          </w:tcPr>
          <w:p w:rsidR="006767D2" w:rsidRPr="00DB3375" w:rsidRDefault="006767D2" w:rsidP="00DB3375">
            <w:pPr>
              <w:pStyle w:val="RSnatevanje"/>
              <w:numPr>
                <w:ilvl w:val="0"/>
                <w:numId w:val="3"/>
              </w:numPr>
            </w:pPr>
            <w:r w:rsidRPr="00DB3375">
              <w:t>Občinski svet občineje imenoval člane NO, ki niso izpolnjevali zahtev statuta občine glede zahtevane stopnje izobrazbe za člane NO, in s tem kršil določila, ki jih je občina sama predpisala.</w:t>
            </w:r>
          </w:p>
        </w:tc>
      </w:tr>
      <w:tr w:rsidR="006767D2" w:rsidTr="00DB3375">
        <w:tc>
          <w:tcPr>
            <w:tcW w:w="9248" w:type="dxa"/>
          </w:tcPr>
          <w:p w:rsidR="006767D2" w:rsidRPr="00DB3375" w:rsidRDefault="006767D2" w:rsidP="00DB3375">
            <w:pPr>
              <w:pStyle w:val="RStekst"/>
              <w:numPr>
                <w:ilvl w:val="0"/>
                <w:numId w:val="20"/>
              </w:numPr>
              <w:rPr>
                <w:b/>
              </w:rPr>
            </w:pPr>
            <w:r w:rsidRPr="00DB3375">
              <w:rPr>
                <w:b/>
              </w:rPr>
              <w:t>Opredelitev nalog NO</w:t>
            </w:r>
          </w:p>
        </w:tc>
      </w:tr>
      <w:tr w:rsidR="006767D2" w:rsidTr="00DB3375">
        <w:tc>
          <w:tcPr>
            <w:tcW w:w="9248" w:type="dxa"/>
          </w:tcPr>
          <w:p w:rsidR="006767D2" w:rsidRPr="00DB3375" w:rsidRDefault="006767D2" w:rsidP="00DB3375">
            <w:pPr>
              <w:pStyle w:val="RSnatevanje"/>
              <w:numPr>
                <w:ilvl w:val="0"/>
                <w:numId w:val="3"/>
              </w:numPr>
            </w:pPr>
            <w:r w:rsidRPr="00DB3375">
              <w:t>Računsko sodišče pri nobeni izmed dvajsetih občin ni ugotovilo nepravilnosti pri določitvi nalog NO.</w:t>
            </w:r>
          </w:p>
        </w:tc>
      </w:tr>
      <w:tr w:rsidR="006767D2" w:rsidTr="00DB3375">
        <w:tc>
          <w:tcPr>
            <w:tcW w:w="9248" w:type="dxa"/>
          </w:tcPr>
          <w:p w:rsidR="006767D2" w:rsidRPr="00DB3375" w:rsidRDefault="006767D2" w:rsidP="00DB3375">
            <w:pPr>
              <w:pStyle w:val="RStekst"/>
              <w:numPr>
                <w:ilvl w:val="0"/>
                <w:numId w:val="20"/>
              </w:numPr>
              <w:rPr>
                <w:b/>
              </w:rPr>
            </w:pPr>
            <w:r w:rsidRPr="00DB3375">
              <w:rPr>
                <w:b/>
              </w:rPr>
              <w:t>Postopek dela NO</w:t>
            </w:r>
          </w:p>
        </w:tc>
      </w:tr>
      <w:tr w:rsidR="006767D2" w:rsidTr="00DB3375">
        <w:tc>
          <w:tcPr>
            <w:tcW w:w="9248" w:type="dxa"/>
          </w:tcPr>
          <w:p w:rsidR="006767D2" w:rsidRPr="00DB3375" w:rsidRDefault="006767D2" w:rsidP="00DB3375">
            <w:pPr>
              <w:pStyle w:val="RSnatevanje"/>
              <w:numPr>
                <w:ilvl w:val="0"/>
                <w:numId w:val="3"/>
              </w:numPr>
            </w:pPr>
            <w:r w:rsidRPr="00DB3375">
              <w:t>Občine niso zadostile zahtevam glede vsebine statuta v povezavi z delovanjem NO, ker je v statutu postopek dela NO pomanjkljivo določen ali ni določen in ker statut ne določa pravic in obveznosti organov občine v zvezi z delom NO.</w:t>
            </w:r>
          </w:p>
        </w:tc>
      </w:tr>
      <w:tr w:rsidR="006767D2" w:rsidTr="00DB3375">
        <w:tc>
          <w:tcPr>
            <w:tcW w:w="9248" w:type="dxa"/>
          </w:tcPr>
          <w:p w:rsidR="006767D2" w:rsidRPr="00DB3375" w:rsidRDefault="006767D2" w:rsidP="00DB3375">
            <w:pPr>
              <w:pStyle w:val="RSnatevanje"/>
              <w:numPr>
                <w:ilvl w:val="0"/>
                <w:numId w:val="20"/>
              </w:numPr>
              <w:rPr>
                <w:b/>
              </w:rPr>
            </w:pPr>
            <w:r w:rsidRPr="00DB3375">
              <w:rPr>
                <w:b/>
              </w:rPr>
              <w:t>Poslovnik NO</w:t>
            </w:r>
          </w:p>
        </w:tc>
      </w:tr>
      <w:tr w:rsidR="006767D2" w:rsidTr="00DB3375">
        <w:tc>
          <w:tcPr>
            <w:tcW w:w="9248" w:type="dxa"/>
          </w:tcPr>
          <w:p w:rsidR="006767D2" w:rsidRPr="00DB3375" w:rsidRDefault="006767D2" w:rsidP="00DB3375">
            <w:pPr>
              <w:pStyle w:val="RSnatevanje"/>
              <w:numPr>
                <w:ilvl w:val="0"/>
                <w:numId w:val="3"/>
              </w:numPr>
            </w:pPr>
            <w:r w:rsidRPr="00DB3375">
              <w:t>NO občine ni sprejel poslovnika.</w:t>
            </w:r>
          </w:p>
        </w:tc>
      </w:tr>
      <w:tr w:rsidR="006767D2" w:rsidTr="00DB3375">
        <w:tc>
          <w:tcPr>
            <w:tcW w:w="9248" w:type="dxa"/>
          </w:tcPr>
          <w:p w:rsidR="006767D2" w:rsidRPr="00DB3375" w:rsidRDefault="006767D2" w:rsidP="00DB3375">
            <w:pPr>
              <w:pStyle w:val="RSnatevanje"/>
              <w:numPr>
                <w:ilvl w:val="0"/>
                <w:numId w:val="3"/>
              </w:numPr>
            </w:pPr>
            <w:r w:rsidRPr="00DB3375">
              <w:t>določila poslovnika NO niso izpolnjevala zahtev tretjega odstavka 32. člena ZLS (nadzorni svet ni opredelil, kaj je hujša kršitev predpisov oziroma nepravilnost pri poslovanju občin).</w:t>
            </w:r>
          </w:p>
        </w:tc>
      </w:tr>
    </w:tbl>
    <w:p w:rsidR="006767D2" w:rsidRDefault="006767D2" w:rsidP="00C108CE">
      <w:pPr>
        <w:pStyle w:val="RStekst"/>
      </w:pPr>
    </w:p>
    <w:p w:rsidR="006767D2" w:rsidRDefault="006767D2" w:rsidP="00C108CE">
      <w:pPr>
        <w:pStyle w:val="RStekst"/>
      </w:pPr>
      <w:r>
        <w:t>USPEŠNOST POSLOVANJA</w:t>
      </w:r>
    </w:p>
    <w:tbl>
      <w:tblPr>
        <w:tblW w:w="0" w:type="auto"/>
        <w:tblBorders>
          <w:top w:val="single" w:sz="4" w:space="0" w:color="auto"/>
          <w:bottom w:val="single" w:sz="4" w:space="0" w:color="auto"/>
          <w:insideH w:val="single" w:sz="4" w:space="0" w:color="auto"/>
        </w:tblBorders>
        <w:tblLook w:val="00A0"/>
      </w:tblPr>
      <w:tblGrid>
        <w:gridCol w:w="9248"/>
      </w:tblGrid>
      <w:tr w:rsidR="006767D2" w:rsidTr="00DB3375">
        <w:tc>
          <w:tcPr>
            <w:tcW w:w="9248" w:type="dxa"/>
          </w:tcPr>
          <w:p w:rsidR="006767D2" w:rsidRPr="00DB3375" w:rsidRDefault="006767D2" w:rsidP="00DB3375">
            <w:pPr>
              <w:pStyle w:val="RStekst"/>
              <w:numPr>
                <w:ilvl w:val="0"/>
                <w:numId w:val="23"/>
              </w:numPr>
              <w:rPr>
                <w:b/>
              </w:rPr>
            </w:pPr>
            <w:r w:rsidRPr="00DB3375">
              <w:rPr>
                <w:b/>
              </w:rPr>
              <w:t>Oblikovanje NO in imenovanje članov NO</w:t>
            </w:r>
          </w:p>
        </w:tc>
      </w:tr>
      <w:tr w:rsidR="006767D2" w:rsidTr="00DB3375">
        <w:tc>
          <w:tcPr>
            <w:tcW w:w="9248" w:type="dxa"/>
          </w:tcPr>
          <w:p w:rsidR="006767D2" w:rsidRPr="00DB3375" w:rsidRDefault="006767D2" w:rsidP="00DB3375">
            <w:pPr>
              <w:pStyle w:val="RSnatevanje"/>
              <w:numPr>
                <w:ilvl w:val="0"/>
                <w:numId w:val="3"/>
              </w:numPr>
            </w:pPr>
            <w:r w:rsidRPr="00DB3375">
              <w:t xml:space="preserve">V statutih občine zahtevana stopnja izobrazbe za člane NO ni določena ali pa je določena prenizka zahtevana stopnja izobrazbe, kar lahko vpliva na imenovanje strokovnega in uspešnega NO. </w:t>
            </w:r>
          </w:p>
        </w:tc>
      </w:tr>
      <w:tr w:rsidR="006767D2" w:rsidTr="00DB3375">
        <w:tc>
          <w:tcPr>
            <w:tcW w:w="9248" w:type="dxa"/>
          </w:tcPr>
          <w:p w:rsidR="006767D2" w:rsidRPr="00DB3375" w:rsidRDefault="006767D2" w:rsidP="00DB3375">
            <w:pPr>
              <w:pStyle w:val="RSnatevanje"/>
              <w:numPr>
                <w:ilvl w:val="0"/>
                <w:numId w:val="3"/>
              </w:numPr>
            </w:pPr>
            <w:r w:rsidRPr="00DB3375">
              <w:t xml:space="preserve">V statutu je občina neprimerno določila, da listo kandidatov za člane NO sestavi župan. Listo bi morala predlagati komisija za mandatna vprašanja, volitve in imenovanja, ki ni neposredno predmet nadzora NO. </w:t>
            </w:r>
          </w:p>
        </w:tc>
      </w:tr>
      <w:tr w:rsidR="006767D2" w:rsidTr="00DB3375">
        <w:tc>
          <w:tcPr>
            <w:tcW w:w="9248" w:type="dxa"/>
          </w:tcPr>
          <w:p w:rsidR="006767D2" w:rsidRPr="00DB3375" w:rsidRDefault="006767D2" w:rsidP="00DB3375">
            <w:pPr>
              <w:pStyle w:val="RSnatevanje"/>
              <w:numPr>
                <w:ilvl w:val="0"/>
                <w:numId w:val="3"/>
              </w:numPr>
              <w:spacing w:before="120" w:after="0" w:line="240" w:lineRule="auto"/>
              <w:contextualSpacing w:val="0"/>
              <w:rPr>
                <w:lang w:eastAsia="sl-SI"/>
              </w:rPr>
            </w:pPr>
            <w:r w:rsidRPr="00DB3375">
              <w:t>Statuti večine občin določajo, da listo kandidatov za člane NO določi in predloži OS komisija za mandatna vprašanja, volitve in imenovanja; komisija za mandatna vprašanja, volitve in imenovanjapraviloma predlaga le toliko kandidatov, kot je članov NO kar pomeni, da OS pri imenovanju nima izbire med več kandidati, ampak lahko kandidate bodisi potrdi bodisi ne; če jih ne potrdi, lahko ogrozi zakonsko zahtevo po imenovanju članov NO v 45 dneh po prvi seji OS.</w:t>
            </w:r>
          </w:p>
        </w:tc>
      </w:tr>
      <w:tr w:rsidR="006767D2" w:rsidTr="00DB3375">
        <w:tc>
          <w:tcPr>
            <w:tcW w:w="9248" w:type="dxa"/>
          </w:tcPr>
          <w:p w:rsidR="006767D2" w:rsidRPr="00DB3375" w:rsidRDefault="006767D2" w:rsidP="00DB3375">
            <w:pPr>
              <w:pStyle w:val="RStekst"/>
              <w:numPr>
                <w:ilvl w:val="0"/>
                <w:numId w:val="23"/>
              </w:numPr>
              <w:rPr>
                <w:b/>
              </w:rPr>
            </w:pPr>
            <w:r w:rsidRPr="00DB3375">
              <w:rPr>
                <w:b/>
              </w:rPr>
              <w:t>Opredelitev nalog NO</w:t>
            </w:r>
          </w:p>
        </w:tc>
      </w:tr>
      <w:tr w:rsidR="006767D2" w:rsidTr="00DB3375">
        <w:tc>
          <w:tcPr>
            <w:tcW w:w="9248" w:type="dxa"/>
          </w:tcPr>
          <w:p w:rsidR="006767D2" w:rsidRPr="00DB3375" w:rsidRDefault="006767D2" w:rsidP="00DB3375">
            <w:pPr>
              <w:pStyle w:val="RSnatevanje"/>
              <w:numPr>
                <w:ilvl w:val="0"/>
                <w:numId w:val="3"/>
              </w:numPr>
            </w:pPr>
            <w:r w:rsidRPr="00DB3375">
              <w:t>Statuti občin vsebujejo določilo o obvezni obravnavi zadev na podlagi sklepa župana ali OS, navedeno določilo po mnenju računskega sodišča posega v samostojnost dela NO kot najvišjega organa nadzora javne porabe v občini; neodvisnost delovanja NO, ki je pogoj za uspešno delovanje NO, zato ni zagotovljena.</w:t>
            </w:r>
          </w:p>
        </w:tc>
      </w:tr>
      <w:tr w:rsidR="006767D2" w:rsidTr="00DB3375">
        <w:tc>
          <w:tcPr>
            <w:tcW w:w="9248" w:type="dxa"/>
          </w:tcPr>
          <w:p w:rsidR="006767D2" w:rsidRPr="00DB3375" w:rsidRDefault="006767D2" w:rsidP="00DB3375">
            <w:pPr>
              <w:pStyle w:val="RSnatevanje"/>
              <w:numPr>
                <w:ilvl w:val="0"/>
                <w:numId w:val="3"/>
              </w:numPr>
            </w:pPr>
            <w:r w:rsidRPr="00DB3375">
              <w:t>Določila statutov občin o obveznih nalogah NO sopreobsežna in neizvedljiva; posegajo v samostojnost dela NO in ne upoštevajo, da je NO nepoklicni organ občine; v nekaterih primerih je zato računsko sodišče poudarilo, da letni program dela NO po mnenju računskega sodišča upravičeno ne zajema vseh obveznih nalog NO.</w:t>
            </w:r>
          </w:p>
        </w:tc>
      </w:tr>
      <w:tr w:rsidR="006767D2" w:rsidTr="00DB3375">
        <w:tc>
          <w:tcPr>
            <w:tcW w:w="9248" w:type="dxa"/>
          </w:tcPr>
          <w:p w:rsidR="006767D2" w:rsidRPr="00DB3375" w:rsidRDefault="006767D2" w:rsidP="00DB3375">
            <w:pPr>
              <w:pStyle w:val="RSnatevanje"/>
              <w:numPr>
                <w:ilvl w:val="0"/>
                <w:numId w:val="3"/>
              </w:numPr>
              <w:spacing w:before="120" w:after="0" w:line="240" w:lineRule="auto"/>
              <w:contextualSpacing w:val="0"/>
            </w:pPr>
            <w:r w:rsidRPr="00DB3375">
              <w:t>Statutiobčindoločajo, da se naloge NO določijo z letnim programom dela ali nadzora, ne določajo pa njegove minimalne vsebine; računsko sodišče je občine opozorilo, da bi k ustreznemu oblikovanju nalog NO prispevala določila statuta občine ali poslovnika NO o minimalni vsebini letnega programa dela NO, to je, kaj mora vsebovati program glede posameznega nadzora.</w:t>
            </w:r>
          </w:p>
        </w:tc>
      </w:tr>
      <w:tr w:rsidR="006767D2" w:rsidTr="00DB3375">
        <w:tc>
          <w:tcPr>
            <w:tcW w:w="9248" w:type="dxa"/>
          </w:tcPr>
          <w:p w:rsidR="006767D2" w:rsidRPr="00DB3375" w:rsidRDefault="006767D2" w:rsidP="00DB3375">
            <w:pPr>
              <w:pStyle w:val="RStekst"/>
              <w:numPr>
                <w:ilvl w:val="0"/>
                <w:numId w:val="23"/>
              </w:numPr>
              <w:rPr>
                <w:b/>
              </w:rPr>
            </w:pPr>
            <w:r w:rsidRPr="00DB3375">
              <w:rPr>
                <w:b/>
              </w:rPr>
              <w:t>Postopek dela NO</w:t>
            </w:r>
          </w:p>
        </w:tc>
      </w:tr>
      <w:tr w:rsidR="006767D2" w:rsidTr="00DB3375">
        <w:tc>
          <w:tcPr>
            <w:tcW w:w="9248" w:type="dxa"/>
          </w:tcPr>
          <w:p w:rsidR="006767D2" w:rsidRPr="00DB3375" w:rsidRDefault="006767D2" w:rsidP="00DB3375">
            <w:pPr>
              <w:pStyle w:val="RSnatevanje"/>
              <w:numPr>
                <w:ilvl w:val="0"/>
                <w:numId w:val="3"/>
              </w:numPr>
            </w:pPr>
            <w:r w:rsidRPr="00DB3375">
              <w:t>Občine v statutih niso imele ali niso imele ustrezno določenega postopka dela; računsko sodišče jih je opozorilo, da je ta pomemben za uspešno delo NO.</w:t>
            </w:r>
          </w:p>
        </w:tc>
      </w:tr>
      <w:tr w:rsidR="006767D2" w:rsidTr="00DB3375">
        <w:tc>
          <w:tcPr>
            <w:tcW w:w="9248" w:type="dxa"/>
          </w:tcPr>
          <w:p w:rsidR="006767D2" w:rsidRPr="00DB3375" w:rsidRDefault="006767D2" w:rsidP="00DB3375">
            <w:pPr>
              <w:pStyle w:val="RSnatevanje"/>
              <w:numPr>
                <w:ilvl w:val="0"/>
                <w:numId w:val="3"/>
              </w:numPr>
              <w:spacing w:before="120" w:after="0" w:line="240" w:lineRule="auto"/>
              <w:contextualSpacing w:val="0"/>
            </w:pPr>
            <w:r w:rsidRPr="00DB3375">
              <w:t>Občine, ki so imele ustrezno opredeljen postopek dela NO, je računsko sodišče opozorilo na odziv župana in OS na poročilo NO; ta odločilno prispeva k doseganju namena delovanja NO, to je k pravilnemu in smotrnemu poslovanju občine.</w:t>
            </w:r>
          </w:p>
        </w:tc>
      </w:tr>
      <w:tr w:rsidR="006767D2" w:rsidTr="00DB3375">
        <w:tc>
          <w:tcPr>
            <w:tcW w:w="9248" w:type="dxa"/>
          </w:tcPr>
          <w:p w:rsidR="006767D2" w:rsidRPr="00DB3375" w:rsidRDefault="006767D2" w:rsidP="00DB3375">
            <w:pPr>
              <w:pStyle w:val="RSnatevanje"/>
              <w:numPr>
                <w:ilvl w:val="0"/>
                <w:numId w:val="3"/>
              </w:numPr>
              <w:spacing w:before="120" w:after="0" w:line="240" w:lineRule="auto"/>
              <w:contextualSpacing w:val="0"/>
              <w:rPr>
                <w:szCs w:val="24"/>
              </w:rPr>
            </w:pPr>
            <w:r w:rsidRPr="00DB3375">
              <w:rPr>
                <w:szCs w:val="24"/>
              </w:rPr>
              <w:t xml:space="preserve">Računsko sodišče je občine opozorilo na preveč podrobno določen postopek nadzora oziroma dela NO v poslovniku NO. </w:t>
            </w:r>
          </w:p>
        </w:tc>
      </w:tr>
    </w:tbl>
    <w:p w:rsidR="006767D2" w:rsidRDefault="006767D2" w:rsidP="00C108CE">
      <w:pPr>
        <w:pStyle w:val="RStekst"/>
      </w:pPr>
    </w:p>
    <w:p w:rsidR="006767D2" w:rsidRPr="00155DE3" w:rsidRDefault="006767D2" w:rsidP="00C108CE">
      <w:pPr>
        <w:pStyle w:val="RStekst"/>
        <w:rPr>
          <w:b/>
        </w:rPr>
      </w:pPr>
      <w:r w:rsidRPr="00D2404E">
        <w:rPr>
          <w:b/>
        </w:rPr>
        <w:t>B)</w:t>
      </w:r>
      <w:r w:rsidRPr="00B85A5E">
        <w:rPr>
          <w:b/>
        </w:rPr>
        <w:t xml:space="preserve">Ugotovitve, ki se nanašajo na </w:t>
      </w:r>
      <w:r>
        <w:rPr>
          <w:b/>
        </w:rPr>
        <w:t>sredstva za delovanje</w:t>
      </w:r>
      <w:r w:rsidRPr="00B85A5E">
        <w:rPr>
          <w:b/>
        </w:rPr>
        <w:t xml:space="preserve"> nadzornega odbora:</w:t>
      </w:r>
    </w:p>
    <w:p w:rsidR="006767D2" w:rsidRDefault="006767D2" w:rsidP="00C108CE">
      <w:pPr>
        <w:pStyle w:val="RStekst"/>
      </w:pPr>
      <w:r>
        <w:t>PRAVILNOST POSLOVANJA</w:t>
      </w:r>
    </w:p>
    <w:tbl>
      <w:tblPr>
        <w:tblW w:w="0" w:type="auto"/>
        <w:tblBorders>
          <w:top w:val="single" w:sz="4" w:space="0" w:color="auto"/>
          <w:bottom w:val="single" w:sz="4" w:space="0" w:color="auto"/>
          <w:insideH w:val="single" w:sz="4" w:space="0" w:color="auto"/>
        </w:tblBorders>
        <w:tblLook w:val="00A0"/>
      </w:tblPr>
      <w:tblGrid>
        <w:gridCol w:w="9210"/>
      </w:tblGrid>
      <w:tr w:rsidR="006767D2" w:rsidTr="00DB3375">
        <w:tc>
          <w:tcPr>
            <w:tcW w:w="9210" w:type="dxa"/>
          </w:tcPr>
          <w:p w:rsidR="006767D2" w:rsidRPr="00DB3375" w:rsidRDefault="006767D2" w:rsidP="00DB3375">
            <w:pPr>
              <w:pStyle w:val="RStekst"/>
              <w:numPr>
                <w:ilvl w:val="0"/>
                <w:numId w:val="21"/>
              </w:numPr>
              <w:rPr>
                <w:b/>
              </w:rPr>
            </w:pPr>
            <w:r w:rsidRPr="00DB3375">
              <w:rPr>
                <w:b/>
              </w:rPr>
              <w:t>Načrtovanje in spremljanje odhodkov za delovanje NO</w:t>
            </w:r>
          </w:p>
        </w:tc>
      </w:tr>
      <w:tr w:rsidR="006767D2" w:rsidTr="00DB3375">
        <w:tc>
          <w:tcPr>
            <w:tcW w:w="9210" w:type="dxa"/>
          </w:tcPr>
          <w:p w:rsidR="006767D2" w:rsidRPr="00DB3375" w:rsidRDefault="006767D2" w:rsidP="00DB3375">
            <w:pPr>
              <w:pStyle w:val="RSnatevanje"/>
              <w:numPr>
                <w:ilvl w:val="0"/>
                <w:numId w:val="3"/>
              </w:numPr>
            </w:pPr>
            <w:r w:rsidRPr="00DB3375">
              <w:t>Občine niso ustrezno načrtovale odhodkov za delovanje NO, saj v proračunu niso bili natančno opredeljeni kot sredstva za delovanje NO (sredstva so bila praviloma načrtovana v okviru sredstev za delovanje OS ali občinske uprave, ker pa je NO eden izmed organov občine, bi moral imeti sredstva za svoje delovanje zagotovljena ločeno, na posebni proračunski postavki)</w:t>
            </w:r>
          </w:p>
          <w:p w:rsidR="006767D2" w:rsidRPr="00DB3375" w:rsidRDefault="006767D2" w:rsidP="00DB3375">
            <w:pPr>
              <w:pStyle w:val="RSnatevanje"/>
              <w:numPr>
                <w:ilvl w:val="0"/>
                <w:numId w:val="0"/>
              </w:numPr>
              <w:ind w:left="357"/>
            </w:pPr>
            <w:r w:rsidRPr="00DB3375">
              <w:rPr>
                <w:b/>
              </w:rPr>
              <w:t>Opozorilo na spremembo predpisov od objave zbirnega poročila:</w:t>
            </w:r>
            <w:r w:rsidRPr="00DB3375">
              <w:t xml:space="preserve"> Z uveljavitvijo programske klasifikacije, po kateri so občine dolžne sestavljati proračune, je v proračun uveden podprogram 0239001 Dejavnost nadzornega odbora.</w:t>
            </w:r>
          </w:p>
        </w:tc>
      </w:tr>
      <w:tr w:rsidR="006767D2" w:rsidTr="00DB3375">
        <w:tc>
          <w:tcPr>
            <w:tcW w:w="9210" w:type="dxa"/>
          </w:tcPr>
          <w:p w:rsidR="006767D2" w:rsidRPr="00DB3375" w:rsidRDefault="006767D2" w:rsidP="00DB3375">
            <w:pPr>
              <w:pStyle w:val="RStekst"/>
              <w:numPr>
                <w:ilvl w:val="0"/>
                <w:numId w:val="21"/>
              </w:numPr>
              <w:rPr>
                <w:b/>
              </w:rPr>
            </w:pPr>
            <w:r w:rsidRPr="00DB3375">
              <w:rPr>
                <w:b/>
              </w:rPr>
              <w:t>Nadomestilo za opravljanje funkcije</w:t>
            </w:r>
          </w:p>
        </w:tc>
      </w:tr>
      <w:tr w:rsidR="006767D2" w:rsidTr="00DB3375">
        <w:tc>
          <w:tcPr>
            <w:tcW w:w="9210" w:type="dxa"/>
          </w:tcPr>
          <w:p w:rsidR="006767D2" w:rsidRPr="00DB3375" w:rsidRDefault="006767D2" w:rsidP="00DB3375">
            <w:pPr>
              <w:pStyle w:val="RSnatevanje"/>
              <w:numPr>
                <w:ilvl w:val="0"/>
                <w:numId w:val="3"/>
              </w:numPr>
            </w:pPr>
            <w:r w:rsidRPr="00DB3375">
              <w:t>Občina je članom NO v nasprotju z določili pravilnika o plačah občinskih funkcionarjev obračunala in izplačala sejnine za seje, ko se NO ni sestal.</w:t>
            </w:r>
          </w:p>
        </w:tc>
      </w:tr>
      <w:tr w:rsidR="006767D2" w:rsidTr="00DB3375">
        <w:tc>
          <w:tcPr>
            <w:tcW w:w="9210" w:type="dxa"/>
          </w:tcPr>
          <w:p w:rsidR="006767D2" w:rsidRPr="00DB3375" w:rsidRDefault="006767D2" w:rsidP="00DB3375">
            <w:pPr>
              <w:pStyle w:val="RSnatevanje"/>
              <w:numPr>
                <w:ilvl w:val="0"/>
                <w:numId w:val="3"/>
              </w:numPr>
            </w:pPr>
            <w:r w:rsidRPr="00DB3375">
              <w:t>Občina je članom NO skupno za sejnine in opravljanje nadzorov izplačala nadomestila, ki so presegla s pravilnikom o plačah občinskih funkcionarjev določeno zgornjo mejo izplačil za člane NO.</w:t>
            </w:r>
          </w:p>
        </w:tc>
      </w:tr>
      <w:tr w:rsidR="006767D2" w:rsidTr="00DB3375">
        <w:tc>
          <w:tcPr>
            <w:tcW w:w="9210" w:type="dxa"/>
          </w:tcPr>
          <w:p w:rsidR="006767D2" w:rsidRPr="00DB3375" w:rsidRDefault="006767D2" w:rsidP="00DB3375">
            <w:pPr>
              <w:pStyle w:val="RSnatevanje"/>
              <w:numPr>
                <w:ilvl w:val="0"/>
                <w:numId w:val="3"/>
              </w:numPr>
            </w:pPr>
            <w:r w:rsidRPr="00DB3375">
              <w:t>Občina je izplačala nadomestila članom NO za izvedbo nadzorov na način, ki ni bil v skladu z aktom o plačah občinskih funkcionarjev.</w:t>
            </w:r>
          </w:p>
        </w:tc>
      </w:tr>
      <w:tr w:rsidR="006767D2" w:rsidTr="00DB3375">
        <w:tc>
          <w:tcPr>
            <w:tcW w:w="9210" w:type="dxa"/>
          </w:tcPr>
          <w:p w:rsidR="006767D2" w:rsidRPr="00DB3375" w:rsidRDefault="006767D2" w:rsidP="00DB3375">
            <w:pPr>
              <w:pStyle w:val="RSnatevanje"/>
              <w:numPr>
                <w:ilvl w:val="0"/>
                <w:numId w:val="3"/>
              </w:numPr>
            </w:pPr>
            <w:r w:rsidRPr="00DB3375">
              <w:t>Občina nadomestila članom NO za izvedene nadzore oziroma meril za določitev nadomestila ni določila z aktom občine in si je nadomestilo za nadzore določil NO.</w:t>
            </w:r>
          </w:p>
        </w:tc>
      </w:tr>
    </w:tbl>
    <w:p w:rsidR="006767D2" w:rsidRDefault="006767D2" w:rsidP="00C108CE">
      <w:pPr>
        <w:pStyle w:val="RStekst"/>
      </w:pPr>
    </w:p>
    <w:p w:rsidR="006767D2" w:rsidRDefault="006767D2" w:rsidP="00C108CE">
      <w:pPr>
        <w:pStyle w:val="RStekst"/>
      </w:pPr>
      <w:r>
        <w:t>USPEŠNOST POSLOVANJA</w:t>
      </w:r>
    </w:p>
    <w:tbl>
      <w:tblPr>
        <w:tblW w:w="0" w:type="auto"/>
        <w:tblBorders>
          <w:top w:val="single" w:sz="4" w:space="0" w:color="auto"/>
          <w:bottom w:val="single" w:sz="4" w:space="0" w:color="auto"/>
          <w:insideH w:val="single" w:sz="4" w:space="0" w:color="auto"/>
        </w:tblBorders>
        <w:tblLook w:val="00A0"/>
      </w:tblPr>
      <w:tblGrid>
        <w:gridCol w:w="9210"/>
      </w:tblGrid>
      <w:tr w:rsidR="006767D2" w:rsidTr="00DB3375">
        <w:tc>
          <w:tcPr>
            <w:tcW w:w="9210" w:type="dxa"/>
          </w:tcPr>
          <w:p w:rsidR="006767D2" w:rsidRPr="00DB3375" w:rsidRDefault="006767D2" w:rsidP="00DB3375">
            <w:pPr>
              <w:pStyle w:val="RStekst"/>
              <w:numPr>
                <w:ilvl w:val="0"/>
                <w:numId w:val="24"/>
              </w:numPr>
              <w:rPr>
                <w:b/>
              </w:rPr>
            </w:pPr>
            <w:r w:rsidRPr="00DB3375">
              <w:rPr>
                <w:b/>
              </w:rPr>
              <w:t>Načrtovanje in spremljanje odhodkov za delovanje NO</w:t>
            </w:r>
          </w:p>
        </w:tc>
      </w:tr>
      <w:tr w:rsidR="006767D2" w:rsidTr="00DB3375">
        <w:tc>
          <w:tcPr>
            <w:tcW w:w="9210" w:type="dxa"/>
          </w:tcPr>
          <w:p w:rsidR="006767D2" w:rsidRPr="00DB3375" w:rsidRDefault="006767D2" w:rsidP="00DB3375">
            <w:pPr>
              <w:pStyle w:val="RSnatevanje"/>
              <w:numPr>
                <w:ilvl w:val="0"/>
                <w:numId w:val="3"/>
              </w:numPr>
            </w:pPr>
            <w:r w:rsidRPr="00DB3375">
              <w:t>V statutih občin je določeno, da se sredstva za delovanje NO določijo na podlagi finančnega načrta, pripravljenega na podlagi letnega programa dela; takšno določilo statuta občine omogoča vpliv NO na določitev obsega sredstev za njegovo delo, zato je računsko sodišče predlagalo dopolnitev statuta.</w:t>
            </w:r>
          </w:p>
        </w:tc>
      </w:tr>
      <w:tr w:rsidR="006767D2" w:rsidTr="00DB3375">
        <w:tc>
          <w:tcPr>
            <w:tcW w:w="9210" w:type="dxa"/>
          </w:tcPr>
          <w:p w:rsidR="006767D2" w:rsidRPr="00DB3375" w:rsidRDefault="006767D2" w:rsidP="00DB3375">
            <w:pPr>
              <w:pStyle w:val="RSnatevanje"/>
              <w:numPr>
                <w:ilvl w:val="0"/>
                <w:numId w:val="3"/>
              </w:numPr>
            </w:pPr>
            <w:r w:rsidRPr="00DB3375">
              <w:t>Sredstva za delovanje NO v proračunih občin niso bila načrtovana na podlagi predloga NO.</w:t>
            </w:r>
          </w:p>
        </w:tc>
      </w:tr>
      <w:tr w:rsidR="006767D2" w:rsidTr="00DB3375">
        <w:tc>
          <w:tcPr>
            <w:tcW w:w="9210" w:type="dxa"/>
          </w:tcPr>
          <w:p w:rsidR="006767D2" w:rsidRPr="00DB3375" w:rsidRDefault="006767D2" w:rsidP="00DB3375">
            <w:pPr>
              <w:pStyle w:val="RSnatevanje"/>
              <w:numPr>
                <w:ilvl w:val="0"/>
                <w:numId w:val="3"/>
              </w:numPr>
            </w:pPr>
            <w:r w:rsidRPr="00DB3375">
              <w:rPr>
                <w:spacing w:val="-4"/>
              </w:rPr>
              <w:t>Sredstva za delo NO v proračunih občin niso bila načrtovana na posebni proračunski postavki, zaradi česar sredstva niso bila natančno določena, NO pa ni bil seznanjen z obsegom sredstev, ki jih je imel na voljo za svoje delo.</w:t>
            </w:r>
          </w:p>
        </w:tc>
      </w:tr>
      <w:tr w:rsidR="006767D2" w:rsidTr="00DB3375">
        <w:tc>
          <w:tcPr>
            <w:tcW w:w="9210" w:type="dxa"/>
          </w:tcPr>
          <w:p w:rsidR="006767D2" w:rsidRPr="00DB3375" w:rsidRDefault="006767D2" w:rsidP="00DB3375">
            <w:pPr>
              <w:pStyle w:val="RSnatevanje"/>
              <w:numPr>
                <w:ilvl w:val="0"/>
                <w:numId w:val="3"/>
              </w:numPr>
            </w:pPr>
            <w:r w:rsidRPr="00DB3375">
              <w:t>V zaključnih računih proračuna občin so se odhodki za delovanje NO nanašali le na nadomestila za opravljanje funkcije; sredstva za ostale namene so bila v primerjavi z nadomestili za opravljanje funkcije zneskovno majhna; finančno neodvisnost bi bilo potrebno povečati z načrtovanjem in izvršitvijo tudi drugih odhodkov, predvsem za strokovna izobraževanja in literaturo.</w:t>
            </w:r>
          </w:p>
        </w:tc>
      </w:tr>
      <w:tr w:rsidR="006767D2" w:rsidTr="00DB3375">
        <w:tc>
          <w:tcPr>
            <w:tcW w:w="9210" w:type="dxa"/>
          </w:tcPr>
          <w:p w:rsidR="006767D2" w:rsidRPr="00DB3375" w:rsidRDefault="006767D2" w:rsidP="00DB3375">
            <w:pPr>
              <w:pStyle w:val="RSnatevanje"/>
              <w:numPr>
                <w:ilvl w:val="0"/>
                <w:numId w:val="3"/>
              </w:numPr>
              <w:spacing w:before="120" w:after="0" w:line="240" w:lineRule="auto"/>
              <w:contextualSpacing w:val="0"/>
            </w:pPr>
            <w:r w:rsidRPr="00DB3375">
              <w:t xml:space="preserve">V občini NO niso bila odobrena sredstva za pomoč zunanjega strokovnjaka. </w:t>
            </w:r>
          </w:p>
        </w:tc>
      </w:tr>
      <w:tr w:rsidR="006767D2" w:rsidTr="00DB3375">
        <w:tc>
          <w:tcPr>
            <w:tcW w:w="9210" w:type="dxa"/>
          </w:tcPr>
          <w:p w:rsidR="006767D2" w:rsidRPr="00DB3375" w:rsidRDefault="006767D2" w:rsidP="00DB3375">
            <w:pPr>
              <w:pStyle w:val="RStekst"/>
              <w:numPr>
                <w:ilvl w:val="0"/>
                <w:numId w:val="24"/>
              </w:numPr>
              <w:rPr>
                <w:b/>
              </w:rPr>
            </w:pPr>
            <w:r w:rsidRPr="00DB3375">
              <w:rPr>
                <w:b/>
              </w:rPr>
              <w:t>Nadomestilo za opravljanje funkcije</w:t>
            </w:r>
          </w:p>
        </w:tc>
      </w:tr>
      <w:tr w:rsidR="006767D2" w:rsidTr="00DB3375">
        <w:tc>
          <w:tcPr>
            <w:tcW w:w="9210" w:type="dxa"/>
          </w:tcPr>
          <w:p w:rsidR="006767D2" w:rsidRPr="00DB3375" w:rsidRDefault="006767D2" w:rsidP="00DB3375">
            <w:pPr>
              <w:pStyle w:val="RSnatevanje"/>
              <w:numPr>
                <w:ilvl w:val="0"/>
                <w:numId w:val="3"/>
              </w:numPr>
            </w:pPr>
            <w:r w:rsidRPr="00DB3375">
              <w:t>Občine niso vrednotilenadomestila za opravljanje nadzora glede na zahtevnost nalog.</w:t>
            </w:r>
          </w:p>
        </w:tc>
      </w:tr>
      <w:tr w:rsidR="006767D2" w:rsidTr="00DB3375">
        <w:tc>
          <w:tcPr>
            <w:tcW w:w="9210" w:type="dxa"/>
          </w:tcPr>
          <w:p w:rsidR="006767D2" w:rsidRPr="00DB3375" w:rsidRDefault="006767D2" w:rsidP="00DB3375">
            <w:pPr>
              <w:pStyle w:val="RSnatevanje"/>
              <w:numPr>
                <w:ilvl w:val="0"/>
                <w:numId w:val="3"/>
              </w:numPr>
            </w:pPr>
            <w:r w:rsidRPr="00DB3375">
              <w:t>Občine niso vrednotile opravljanja nadzora ali paso dajale opravljanju nadzora v primerjavi s sejami NO premajhno težo.</w:t>
            </w:r>
          </w:p>
        </w:tc>
      </w:tr>
      <w:tr w:rsidR="006767D2" w:rsidTr="00DB3375">
        <w:tc>
          <w:tcPr>
            <w:tcW w:w="9210" w:type="dxa"/>
          </w:tcPr>
          <w:p w:rsidR="006767D2" w:rsidRPr="00DB3375" w:rsidRDefault="006767D2" w:rsidP="00DB3375">
            <w:pPr>
              <w:pStyle w:val="RSnatevanje"/>
              <w:numPr>
                <w:ilvl w:val="0"/>
                <w:numId w:val="3"/>
              </w:numPr>
            </w:pPr>
            <w:r w:rsidRPr="00DB3375">
              <w:t xml:space="preserve">Občine niso </w:t>
            </w:r>
            <w:r w:rsidRPr="00DB3375">
              <w:rPr>
                <w:szCs w:val="24"/>
              </w:rPr>
              <w:t>vrednotile drugih nalog NO kot so npr. udeležba na seji OS ali seji komisije OS.</w:t>
            </w:r>
          </w:p>
        </w:tc>
      </w:tr>
    </w:tbl>
    <w:p w:rsidR="006767D2" w:rsidRDefault="006767D2" w:rsidP="00C108CE">
      <w:pPr>
        <w:pStyle w:val="RStekst"/>
      </w:pPr>
    </w:p>
    <w:p w:rsidR="006767D2" w:rsidRPr="00155DE3" w:rsidRDefault="006767D2" w:rsidP="00C108CE">
      <w:pPr>
        <w:pStyle w:val="RStekst"/>
        <w:rPr>
          <w:b/>
        </w:rPr>
      </w:pPr>
      <w:r>
        <w:rPr>
          <w:b/>
        </w:rPr>
        <w:t xml:space="preserve">C) </w:t>
      </w:r>
      <w:r w:rsidRPr="00207B71">
        <w:rPr>
          <w:b/>
        </w:rPr>
        <w:t>Ugotovitve, ki se nanašajo na opravljanje nadzora:</w:t>
      </w:r>
    </w:p>
    <w:p w:rsidR="006767D2" w:rsidRDefault="006767D2" w:rsidP="00C108CE">
      <w:pPr>
        <w:pStyle w:val="RStekst"/>
      </w:pPr>
      <w:r>
        <w:t>PRAVILNOST POSLOVANJA</w:t>
      </w:r>
    </w:p>
    <w:tbl>
      <w:tblPr>
        <w:tblW w:w="0" w:type="auto"/>
        <w:tblBorders>
          <w:top w:val="single" w:sz="4" w:space="0" w:color="auto"/>
          <w:bottom w:val="single" w:sz="4" w:space="0" w:color="auto"/>
          <w:insideH w:val="single" w:sz="4" w:space="0" w:color="auto"/>
        </w:tblBorders>
        <w:tblLook w:val="00A0"/>
      </w:tblPr>
      <w:tblGrid>
        <w:gridCol w:w="9210"/>
      </w:tblGrid>
      <w:tr w:rsidR="006767D2" w:rsidTr="00DB3375">
        <w:tc>
          <w:tcPr>
            <w:tcW w:w="9210" w:type="dxa"/>
          </w:tcPr>
          <w:p w:rsidR="006767D2" w:rsidRPr="00DB3375" w:rsidRDefault="006767D2" w:rsidP="00DB3375">
            <w:pPr>
              <w:pStyle w:val="RStekst"/>
              <w:numPr>
                <w:ilvl w:val="0"/>
                <w:numId w:val="22"/>
              </w:numPr>
              <w:rPr>
                <w:b/>
              </w:rPr>
            </w:pPr>
            <w:r w:rsidRPr="00DB3375">
              <w:rPr>
                <w:b/>
              </w:rPr>
              <w:t>Pogoji za opravljanje nadzora</w:t>
            </w:r>
          </w:p>
        </w:tc>
      </w:tr>
      <w:tr w:rsidR="006767D2" w:rsidTr="00DB3375">
        <w:tc>
          <w:tcPr>
            <w:tcW w:w="9210" w:type="dxa"/>
          </w:tcPr>
          <w:p w:rsidR="006767D2" w:rsidRPr="00DB3375" w:rsidRDefault="006767D2" w:rsidP="00DB3375">
            <w:pPr>
              <w:pStyle w:val="RSnatevanje"/>
              <w:numPr>
                <w:ilvl w:val="0"/>
                <w:numId w:val="3"/>
              </w:numPr>
            </w:pPr>
            <w:r w:rsidRPr="00DB3375">
              <w:t>Računsko sodišče v nobeni občini ni ugotovilo nepravilnosti pri zagotovitvi pogojev za delo NO (dostopa do podatkov, administrativne in strokovne pomoči).</w:t>
            </w:r>
          </w:p>
        </w:tc>
      </w:tr>
      <w:tr w:rsidR="006767D2" w:rsidTr="00DB3375">
        <w:tc>
          <w:tcPr>
            <w:tcW w:w="9210" w:type="dxa"/>
          </w:tcPr>
          <w:p w:rsidR="006767D2" w:rsidRPr="00DB3375" w:rsidRDefault="006767D2" w:rsidP="00DB3375">
            <w:pPr>
              <w:pStyle w:val="RStekst"/>
              <w:numPr>
                <w:ilvl w:val="0"/>
                <w:numId w:val="22"/>
              </w:numPr>
              <w:rPr>
                <w:b/>
              </w:rPr>
            </w:pPr>
            <w:r w:rsidRPr="00DB3375">
              <w:rPr>
                <w:b/>
              </w:rPr>
              <w:t>Izvajanje nadzora</w:t>
            </w:r>
          </w:p>
        </w:tc>
      </w:tr>
      <w:tr w:rsidR="006767D2" w:rsidTr="00DB3375">
        <w:tc>
          <w:tcPr>
            <w:tcW w:w="9210" w:type="dxa"/>
          </w:tcPr>
          <w:p w:rsidR="006767D2" w:rsidRPr="00DB3375" w:rsidRDefault="006767D2" w:rsidP="00DB3375">
            <w:pPr>
              <w:pStyle w:val="RSnatevanje"/>
              <w:numPr>
                <w:ilvl w:val="0"/>
                <w:numId w:val="3"/>
              </w:numPr>
            </w:pPr>
            <w:r w:rsidRPr="00DB3375">
              <w:t>NO občine niso sprejeli letnega programa dela, ki je sestavni del postopka dela NO, določenega v statutu občine.</w:t>
            </w:r>
          </w:p>
        </w:tc>
      </w:tr>
      <w:tr w:rsidR="006767D2" w:rsidTr="00DB3375">
        <w:tc>
          <w:tcPr>
            <w:tcW w:w="9210" w:type="dxa"/>
          </w:tcPr>
          <w:p w:rsidR="006767D2" w:rsidRPr="00DB3375" w:rsidRDefault="006767D2" w:rsidP="00DB3375">
            <w:pPr>
              <w:pStyle w:val="RSnatevanje"/>
              <w:numPr>
                <w:ilvl w:val="0"/>
                <w:numId w:val="3"/>
              </w:numPr>
            </w:pPr>
            <w:r w:rsidRPr="00DB3375">
              <w:t>NO o svojih ugotovitvah niso poročali zgolj v predpisani obliki ali pa sploh niso poročali v predpisani obliki; (NO so o svojih ugotovitvah in priporočilih poročali tudi v zapisnikih sej NO, v poročilih o delu NO, ne da bi bilo predhodno izdelano poročilo NO, ter v poročilih, ki niso bila izdana po postopku predpisanim s statutom občine).</w:t>
            </w:r>
          </w:p>
        </w:tc>
      </w:tr>
    </w:tbl>
    <w:p w:rsidR="006767D2" w:rsidRDefault="006767D2" w:rsidP="00C108CE">
      <w:pPr>
        <w:pStyle w:val="RStekst"/>
      </w:pPr>
      <w:r w:rsidRPr="00226625">
        <w:rPr>
          <w:b/>
        </w:rPr>
        <w:t>Opozorilo na spremembo predpisov od objave zbirnega poročila</w:t>
      </w:r>
      <w:r>
        <w:t>: Od 11. 4. 2009 je v veljavi Pravilnik o obveznih sestavinah poročila NO občine, ki poleg sestavin poročila delno določa tudi postopek dela NO, kar pomeni, da mora NO ta postopek upoštevati pri svojem delu.</w:t>
      </w:r>
    </w:p>
    <w:p w:rsidR="006767D2" w:rsidRDefault="006767D2" w:rsidP="00C108CE">
      <w:pPr>
        <w:pStyle w:val="RStekst"/>
      </w:pPr>
    </w:p>
    <w:p w:rsidR="006767D2" w:rsidRDefault="006767D2" w:rsidP="00C108CE">
      <w:pPr>
        <w:pStyle w:val="RStekst"/>
      </w:pPr>
      <w:r>
        <w:t>USPEŠNOST POSLOVANJA</w:t>
      </w:r>
    </w:p>
    <w:tbl>
      <w:tblPr>
        <w:tblW w:w="0" w:type="auto"/>
        <w:tblBorders>
          <w:top w:val="single" w:sz="4" w:space="0" w:color="auto"/>
          <w:bottom w:val="single" w:sz="4" w:space="0" w:color="auto"/>
          <w:insideH w:val="single" w:sz="4" w:space="0" w:color="auto"/>
        </w:tblBorders>
        <w:tblLook w:val="00A0"/>
      </w:tblPr>
      <w:tblGrid>
        <w:gridCol w:w="9210"/>
      </w:tblGrid>
      <w:tr w:rsidR="006767D2" w:rsidTr="00DB3375">
        <w:tc>
          <w:tcPr>
            <w:tcW w:w="9210" w:type="dxa"/>
          </w:tcPr>
          <w:p w:rsidR="006767D2" w:rsidRPr="00DB3375" w:rsidRDefault="006767D2" w:rsidP="00DB3375">
            <w:pPr>
              <w:pStyle w:val="RStekst"/>
              <w:numPr>
                <w:ilvl w:val="0"/>
                <w:numId w:val="25"/>
              </w:numPr>
              <w:rPr>
                <w:b/>
              </w:rPr>
            </w:pPr>
            <w:r w:rsidRPr="00DB3375">
              <w:rPr>
                <w:b/>
              </w:rPr>
              <w:t>Pogoji za opravljanje nadzora</w:t>
            </w:r>
          </w:p>
        </w:tc>
      </w:tr>
      <w:tr w:rsidR="006767D2" w:rsidTr="00DB3375">
        <w:tc>
          <w:tcPr>
            <w:tcW w:w="9210" w:type="dxa"/>
          </w:tcPr>
          <w:p w:rsidR="006767D2" w:rsidRPr="00DB3375" w:rsidRDefault="006767D2" w:rsidP="00DB3375">
            <w:pPr>
              <w:pStyle w:val="RSnatevanje"/>
              <w:numPr>
                <w:ilvl w:val="0"/>
                <w:numId w:val="3"/>
              </w:numPr>
            </w:pPr>
            <w:r w:rsidRPr="00DB3375">
              <w:t xml:space="preserve">Določila statuta občine o zagotovitvi strokovne in administrativne pomoči za delo NO ter o dolžnostih in pravicah organov občine v povezavi z delom NO so preveč splošna, zato bi jih bilo potrebno podrobneje določiti, da bi zadostili pogoju za uspešno delo NO. </w:t>
            </w:r>
          </w:p>
        </w:tc>
      </w:tr>
      <w:tr w:rsidR="006767D2" w:rsidTr="00DB3375">
        <w:tc>
          <w:tcPr>
            <w:tcW w:w="9210" w:type="dxa"/>
          </w:tcPr>
          <w:p w:rsidR="006767D2" w:rsidRPr="00DB3375" w:rsidRDefault="006767D2" w:rsidP="00DB3375">
            <w:pPr>
              <w:pStyle w:val="RSnatevanje"/>
              <w:numPr>
                <w:ilvl w:val="0"/>
                <w:numId w:val="3"/>
              </w:numPr>
            </w:pPr>
            <w:r w:rsidRPr="00DB3375">
              <w:t>Pri presoji pravilnosti glede obračunavanja in izplačevanja nadomestil članom NO ter glede ravnanja z akti in dokumenti NO je računsko sodišče ugotovilo nepravilnosti in pomanjkljivosti, ki so posledica neustreznega zagotavljanja administrativne pomoči NO. Občine bi morale navedenemu področju nameniti več pozornosti in izboljšati administrativno pomoč NO.</w:t>
            </w:r>
          </w:p>
        </w:tc>
      </w:tr>
      <w:tr w:rsidR="006767D2" w:rsidTr="00DB3375">
        <w:tc>
          <w:tcPr>
            <w:tcW w:w="9210" w:type="dxa"/>
          </w:tcPr>
          <w:p w:rsidR="006767D2" w:rsidRPr="00DB3375" w:rsidRDefault="006767D2" w:rsidP="00DB3375">
            <w:pPr>
              <w:pStyle w:val="RStekst"/>
              <w:numPr>
                <w:ilvl w:val="0"/>
                <w:numId w:val="25"/>
              </w:numPr>
              <w:rPr>
                <w:b/>
              </w:rPr>
            </w:pPr>
            <w:r w:rsidRPr="00DB3375">
              <w:rPr>
                <w:b/>
              </w:rPr>
              <w:t>Izvajanje nadzora</w:t>
            </w:r>
          </w:p>
        </w:tc>
      </w:tr>
      <w:tr w:rsidR="006767D2" w:rsidTr="00DB3375">
        <w:tc>
          <w:tcPr>
            <w:tcW w:w="9210" w:type="dxa"/>
          </w:tcPr>
          <w:p w:rsidR="006767D2" w:rsidRPr="00DB3375" w:rsidRDefault="006767D2" w:rsidP="00DB3375">
            <w:pPr>
              <w:pStyle w:val="RSnatevanje"/>
              <w:numPr>
                <w:ilvl w:val="0"/>
                <w:numId w:val="3"/>
              </w:numPr>
            </w:pPr>
            <w:r w:rsidRPr="00DB3375">
              <w:t>Računsko sodišče je nekatereNO občin opozorilo, da bi nadzor lahko izvajali uspešneje, npr. z natančnejšim razmejevanjem posameznih nadzorov, s tem, da nadzori ne bi potekali le na sejah NO, pač pa bi jih člani izvajali posamezno, nekatere pa je opozorila, naj se NO pri svojem delu ne bi usmerjal izključno na seje NO in v svetovalno vlogo, pač pa v izvajanje nadzora, končni rezultat dela pa naj bi bila poročila o nadzoru</w:t>
            </w:r>
          </w:p>
        </w:tc>
      </w:tr>
    </w:tbl>
    <w:p w:rsidR="006767D2" w:rsidRDefault="006767D2" w:rsidP="00C108CE">
      <w:pPr>
        <w:pStyle w:val="RStekst"/>
      </w:pPr>
    </w:p>
    <w:p w:rsidR="006767D2" w:rsidRDefault="006767D2" w:rsidP="00C108CE">
      <w:pPr>
        <w:pStyle w:val="RStekst"/>
      </w:pPr>
    </w:p>
    <w:p w:rsidR="006767D2" w:rsidRDefault="006767D2" w:rsidP="00C108CE">
      <w:pPr>
        <w:pStyle w:val="RStekst"/>
        <w:rPr>
          <w:b/>
        </w:rPr>
      </w:pPr>
      <w:r>
        <w:rPr>
          <w:b/>
        </w:rPr>
        <w:t xml:space="preserve">D) </w:t>
      </w:r>
      <w:r w:rsidRPr="00207B71">
        <w:rPr>
          <w:b/>
        </w:rPr>
        <w:t>Ugotovitve, ki se nanašajo na učinek nadzora:</w:t>
      </w:r>
    </w:p>
    <w:p w:rsidR="006767D2" w:rsidRDefault="006767D2" w:rsidP="00C108CE">
      <w:pPr>
        <w:pStyle w:val="RStekst"/>
      </w:pPr>
      <w:r>
        <w:t>PRAVILNOST POSLOVANJA</w:t>
      </w:r>
    </w:p>
    <w:tbl>
      <w:tblPr>
        <w:tblW w:w="0" w:type="auto"/>
        <w:tblBorders>
          <w:top w:val="single" w:sz="4" w:space="0" w:color="auto"/>
          <w:bottom w:val="single" w:sz="4" w:space="0" w:color="auto"/>
          <w:insideH w:val="single" w:sz="4" w:space="0" w:color="auto"/>
        </w:tblBorders>
        <w:tblLook w:val="00A0"/>
      </w:tblPr>
      <w:tblGrid>
        <w:gridCol w:w="9210"/>
      </w:tblGrid>
      <w:tr w:rsidR="006767D2" w:rsidTr="00DB3375">
        <w:tc>
          <w:tcPr>
            <w:tcW w:w="9210" w:type="dxa"/>
          </w:tcPr>
          <w:p w:rsidR="006767D2" w:rsidRPr="00DB3375" w:rsidRDefault="006767D2" w:rsidP="00DB3375">
            <w:pPr>
              <w:pStyle w:val="RSnatevanje"/>
              <w:numPr>
                <w:ilvl w:val="0"/>
                <w:numId w:val="3"/>
              </w:numPr>
            </w:pPr>
            <w:r w:rsidRPr="00DB3375">
              <w:t>Občine niso zadostile zahtevam glede vsebine statuta v povezavi z delovanjem NO, ker statut ne določa obveznosti in pravic v zvezi s priporočili in predlogi NO.</w:t>
            </w:r>
          </w:p>
        </w:tc>
      </w:tr>
    </w:tbl>
    <w:p w:rsidR="006767D2" w:rsidRPr="00207B71" w:rsidRDefault="006767D2" w:rsidP="00C108CE">
      <w:pPr>
        <w:pStyle w:val="RStekst"/>
        <w:rPr>
          <w:b/>
        </w:rPr>
      </w:pPr>
    </w:p>
    <w:p w:rsidR="006767D2" w:rsidRDefault="006767D2" w:rsidP="00C108CE">
      <w:pPr>
        <w:pStyle w:val="RStekst"/>
      </w:pPr>
      <w:r>
        <w:t>USPEŠNOST POSLOVANJA</w:t>
      </w:r>
    </w:p>
    <w:tbl>
      <w:tblPr>
        <w:tblW w:w="0" w:type="auto"/>
        <w:tblBorders>
          <w:top w:val="single" w:sz="4" w:space="0" w:color="auto"/>
          <w:bottom w:val="single" w:sz="4" w:space="0" w:color="auto"/>
          <w:insideH w:val="single" w:sz="4" w:space="0" w:color="auto"/>
        </w:tblBorders>
        <w:tblLook w:val="00A0"/>
      </w:tblPr>
      <w:tblGrid>
        <w:gridCol w:w="9210"/>
      </w:tblGrid>
      <w:tr w:rsidR="006767D2" w:rsidTr="00DB3375">
        <w:tc>
          <w:tcPr>
            <w:tcW w:w="9210" w:type="dxa"/>
          </w:tcPr>
          <w:p w:rsidR="006767D2" w:rsidRPr="00DB3375" w:rsidRDefault="006767D2" w:rsidP="00DB3375">
            <w:pPr>
              <w:pStyle w:val="RSnatevanje"/>
              <w:numPr>
                <w:ilvl w:val="0"/>
                <w:numId w:val="3"/>
              </w:numPr>
            </w:pPr>
            <w:r w:rsidRPr="00DB3375">
              <w:rPr>
                <w:spacing w:val="-2"/>
                <w:szCs w:val="24"/>
              </w:rPr>
              <w:t xml:space="preserve">Učinek nadzora je bil pri nekaterih občinah dosežen, saj sta se druga dva organa občine (župan in OS) odzvala na delovanje in poročila NO. </w:t>
            </w:r>
          </w:p>
          <w:p w:rsidR="006767D2" w:rsidRPr="00DB3375" w:rsidRDefault="006767D2" w:rsidP="00DB3375">
            <w:pPr>
              <w:pStyle w:val="RSnatevanje"/>
              <w:numPr>
                <w:ilvl w:val="0"/>
                <w:numId w:val="3"/>
              </w:numPr>
            </w:pPr>
            <w:r w:rsidRPr="00DB3375">
              <w:rPr>
                <w:spacing w:val="-2"/>
                <w:szCs w:val="24"/>
              </w:rPr>
              <w:t xml:space="preserve">v nekaterih primerih NO ni izdelal poročil o nadzoru, zato učinka nadzora računsko sodišče ni moglo presojati. </w:t>
            </w:r>
          </w:p>
        </w:tc>
      </w:tr>
      <w:tr w:rsidR="006767D2" w:rsidRPr="00957881" w:rsidTr="00DB3375">
        <w:tc>
          <w:tcPr>
            <w:tcW w:w="9210" w:type="dxa"/>
          </w:tcPr>
          <w:p w:rsidR="006767D2" w:rsidRPr="00DB3375" w:rsidRDefault="006767D2" w:rsidP="00DB3375">
            <w:pPr>
              <w:pStyle w:val="RSnatevanje"/>
              <w:numPr>
                <w:ilvl w:val="0"/>
                <w:numId w:val="3"/>
              </w:numPr>
              <w:rPr>
                <w:spacing w:val="-2"/>
                <w:szCs w:val="24"/>
              </w:rPr>
            </w:pPr>
            <w:r w:rsidRPr="00DB3375">
              <w:rPr>
                <w:spacing w:val="-2"/>
                <w:szCs w:val="24"/>
              </w:rPr>
              <w:t>Računsko sodišče je OS nekaterih opozorilo, da bi se lahko bolj aktivno odzvali na delo NO in NO pozvali k predložitvi poročil o nadzoru oziroma vseh poročil.</w:t>
            </w:r>
          </w:p>
        </w:tc>
      </w:tr>
    </w:tbl>
    <w:p w:rsidR="006767D2" w:rsidRDefault="006767D2" w:rsidP="00C108CE">
      <w:pPr>
        <w:pStyle w:val="RStekst"/>
      </w:pPr>
    </w:p>
    <w:p w:rsidR="006767D2" w:rsidRDefault="006767D2" w:rsidP="00A468DE">
      <w:pPr>
        <w:pStyle w:val="RStekst"/>
      </w:pPr>
    </w:p>
    <w:sectPr w:rsidR="006767D2" w:rsidSect="00580040">
      <w:headerReference w:type="even" r:id="rId7"/>
      <w:footerReference w:type="default" r:id="rId8"/>
      <w:headerReference w:type="first" r:id="rId9"/>
      <w:footerReference w:type="first" r:id="rId10"/>
      <w:pgSz w:w="11906" w:h="16838" w:code="9"/>
      <w:pgMar w:top="1701" w:right="1418"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7D2" w:rsidRDefault="006767D2" w:rsidP="00930DEA">
      <w:pPr>
        <w:spacing w:before="0" w:after="0" w:line="240" w:lineRule="auto"/>
      </w:pPr>
      <w:r>
        <w:separator/>
      </w:r>
    </w:p>
  </w:endnote>
  <w:endnote w:type="continuationSeparator" w:id="1">
    <w:p w:rsidR="006767D2" w:rsidRDefault="006767D2" w:rsidP="00930DE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D2" w:rsidRPr="00FC0FAD" w:rsidRDefault="006767D2" w:rsidP="00FC0FAD">
    <w:pPr>
      <w:jc w:val="center"/>
      <w:rPr>
        <w:sz w:val="24"/>
        <w:szCs w:val="24"/>
      </w:rPr>
    </w:pPr>
    <w:r w:rsidRPr="00FC0FAD">
      <w:rPr>
        <w:sz w:val="24"/>
        <w:szCs w:val="24"/>
      </w:rPr>
      <w:fldChar w:fldCharType="begin"/>
    </w:r>
    <w:r w:rsidRPr="00FC0FAD">
      <w:rPr>
        <w:sz w:val="24"/>
        <w:szCs w:val="24"/>
      </w:rPr>
      <w:instrText xml:space="preserve"> PAGE </w:instrText>
    </w:r>
    <w:r w:rsidRPr="00FC0FAD">
      <w:rPr>
        <w:sz w:val="24"/>
        <w:szCs w:val="24"/>
      </w:rPr>
      <w:fldChar w:fldCharType="separate"/>
    </w:r>
    <w:r>
      <w:rPr>
        <w:noProof/>
        <w:sz w:val="24"/>
        <w:szCs w:val="24"/>
      </w:rPr>
      <w:t>2</w:t>
    </w:r>
    <w:r w:rsidRPr="00FC0FAD">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D2" w:rsidRPr="00B409F6" w:rsidRDefault="006767D2" w:rsidP="007729CE">
    <w:pPr>
      <w:pStyle w:val="Footer"/>
      <w:jc w:val="center"/>
    </w:pPr>
    <w:fldSimple w:instr=" PAGE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7D2" w:rsidRDefault="006767D2" w:rsidP="00930DEA">
      <w:pPr>
        <w:spacing w:before="0" w:after="0" w:line="240" w:lineRule="auto"/>
      </w:pPr>
      <w:r>
        <w:separator/>
      </w:r>
    </w:p>
  </w:footnote>
  <w:footnote w:type="continuationSeparator" w:id="1">
    <w:p w:rsidR="006767D2" w:rsidRDefault="006767D2" w:rsidP="00930DE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D2" w:rsidRDefault="006767D2">
    <w:pPr>
      <w:framePr w:wrap="around" w:vAnchor="text" w:hAnchor="margin" w:xAlign="center" w:y="1"/>
    </w:pPr>
    <w:fldSimple w:instr="PAGE  ">
      <w:r>
        <w:rPr>
          <w:noProof/>
        </w:rPr>
        <w:t>1</w:t>
      </w:r>
    </w:fldSimple>
  </w:p>
  <w:p w:rsidR="006767D2" w:rsidRDefault="006767D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7D2" w:rsidRDefault="006767D2" w:rsidP="00580040">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49" type="#_x0000_t75" style="position:absolute;left:0;text-align:left;margin-left:70.9pt;margin-top:48.2pt;width:149.4pt;height:25.5pt;z-index:251660288;visibility:visible;mso-position-horizontal-relative:page;mso-position-vertical-relative:page">
          <v:imagedata r:id="rId1" o:title=""/>
          <w10:wrap type="topAndBottom"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1F93"/>
    <w:multiLevelType w:val="hybridMultilevel"/>
    <w:tmpl w:val="286AD39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133A47C8"/>
    <w:multiLevelType w:val="hybridMultilevel"/>
    <w:tmpl w:val="C2DC1C0C"/>
    <w:lvl w:ilvl="0" w:tplc="5742E9E6">
      <w:start w:val="1"/>
      <w:numFmt w:val="decimal"/>
      <w:pStyle w:val="RS-Tabela"/>
      <w:lvlText w:val="Tabela %1: "/>
      <w:lvlJc w:val="left"/>
      <w:pPr>
        <w:tabs>
          <w:tab w:val="num" w:pos="-567"/>
        </w:tabs>
      </w:pPr>
      <w:rPr>
        <w:rFonts w:ascii="Garamond" w:hAnsi="Garamond" w:cs="Times New Roman" w:hint="default"/>
        <w:sz w:val="22"/>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D12047D"/>
    <w:multiLevelType w:val="hybridMultilevel"/>
    <w:tmpl w:val="8698086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49E3453B"/>
    <w:multiLevelType w:val="hybridMultilevel"/>
    <w:tmpl w:val="BE6CCBA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nsid w:val="52891543"/>
    <w:multiLevelType w:val="hybridMultilevel"/>
    <w:tmpl w:val="9E8ABC10"/>
    <w:lvl w:ilvl="0" w:tplc="C4BCF79C">
      <w:start w:val="1"/>
      <w:numFmt w:val="decimal"/>
      <w:pStyle w:val="RS-Slika"/>
      <w:lvlText w:val="Slika %1: "/>
      <w:lvlJc w:val="left"/>
      <w:pPr>
        <w:tabs>
          <w:tab w:val="num" w:pos="0"/>
        </w:tabs>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hint="default"/>
        <w:caps w:val="0"/>
        <w:strike w:val="0"/>
        <w:dstrike w:val="0"/>
        <w:vanish w:val="0"/>
        <w:color w:val="auto"/>
        <w:sz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6">
    <w:nsid w:val="5B9B161B"/>
    <w:multiLevelType w:val="hybridMultilevel"/>
    <w:tmpl w:val="3E1AD01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nsid w:val="635C1549"/>
    <w:multiLevelType w:val="hybridMultilevel"/>
    <w:tmpl w:val="3E1AD01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cs="Times New Roman" w:hint="default"/>
        <w:color w:val="auto"/>
        <w:sz w:val="24"/>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9">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BE212B8"/>
    <w:multiLevelType w:val="hybridMultilevel"/>
    <w:tmpl w:val="A9C21A0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nsid w:val="76A3157F"/>
    <w:multiLevelType w:val="multilevel"/>
    <w:tmpl w:val="544430F2"/>
    <w:lvl w:ilvl="0">
      <w:start w:val="1"/>
      <w:numFmt w:val="decimal"/>
      <w:pStyle w:val="RSGLAVNINASLOV"/>
      <w:lvlText w:val="%1."/>
      <w:lvlJc w:val="left"/>
      <w:pPr>
        <w:tabs>
          <w:tab w:val="num" w:pos="0"/>
        </w:tabs>
        <w:ind w:hanging="567"/>
      </w:pPr>
      <w:rPr>
        <w:rFonts w:ascii="Garamond" w:hAnsi="Garamond" w:cs="Times New Roman"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cs="Times New Roman"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cs="Times New Roman"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pPr>
      <w:rPr>
        <w:rFonts w:ascii="Garamond" w:hAnsi="Garamond" w:cs="Times New Roman"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cs="Times New Roman" w:hint="default"/>
        <w:b/>
        <w:i w:val="0"/>
        <w:sz w:val="22"/>
        <w:szCs w:val="22"/>
      </w:rPr>
    </w:lvl>
    <w:lvl w:ilvl="5">
      <w:start w:val="1"/>
      <w:numFmt w:val="lowerLetter"/>
      <w:pStyle w:val="RSpodnaslov4"/>
      <w:lvlText w:val="%1.%2.%3.%5.%6"/>
      <w:lvlJc w:val="left"/>
      <w:pPr>
        <w:tabs>
          <w:tab w:val="num" w:pos="1021"/>
        </w:tabs>
      </w:pPr>
      <w:rPr>
        <w:rFonts w:ascii="Garamond" w:hAnsi="Garamond" w:cs="Times New Roman"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cs="Times New Roman" w:hint="default"/>
        <w:b w:val="0"/>
        <w:i w:val="0"/>
        <w:sz w:val="22"/>
        <w:szCs w:val="22"/>
      </w:rPr>
    </w:lvl>
    <w:lvl w:ilvl="7">
      <w:start w:val="1"/>
      <w:numFmt w:val="lowerLetter"/>
      <w:pStyle w:val="RSpodnaslov5a"/>
      <w:lvlText w:val="%1.%2.%3.%5.%7.%8"/>
      <w:lvlJc w:val="left"/>
      <w:pPr>
        <w:tabs>
          <w:tab w:val="num" w:pos="1134"/>
        </w:tabs>
      </w:pPr>
      <w:rPr>
        <w:rFonts w:ascii="Garamond" w:hAnsi="Garamond" w:cs="Times New Roman" w:hint="default"/>
        <w:b w:val="0"/>
        <w:i w:val="0"/>
        <w:sz w:val="22"/>
        <w:szCs w:val="22"/>
      </w:rPr>
    </w:lvl>
    <w:lvl w:ilvl="8">
      <w:start w:val="1"/>
      <w:numFmt w:val="decimal"/>
      <w:lvlText w:val="%1.%2.%3.%4.%5.%6.%7.%8.%9"/>
      <w:lvlJc w:val="left"/>
      <w:pPr>
        <w:tabs>
          <w:tab w:val="num" w:pos="360"/>
        </w:tabs>
        <w:ind w:left="360"/>
      </w:pPr>
      <w:rPr>
        <w:rFonts w:cs="Times New Roman" w:hint="default"/>
      </w:rPr>
    </w:lvl>
  </w:abstractNum>
  <w:num w:numId="1">
    <w:abstractNumId w:val="4"/>
  </w:num>
  <w:num w:numId="2">
    <w:abstractNumId w:val="1"/>
  </w:num>
  <w:num w:numId="3">
    <w:abstractNumId w:val="5"/>
  </w:num>
  <w:num w:numId="4">
    <w:abstractNumId w:val="8"/>
  </w:num>
  <w:num w:numId="5">
    <w:abstractNumId w:val="9"/>
  </w:num>
  <w:num w:numId="6">
    <w:abstractNumId w:val="11"/>
  </w:num>
  <w:num w:numId="7">
    <w:abstractNumId w:val="11"/>
  </w:num>
  <w:num w:numId="8">
    <w:abstractNumId w:val="4"/>
  </w:num>
  <w:num w:numId="9">
    <w:abstractNumId w:val="1"/>
  </w:num>
  <w:num w:numId="10">
    <w:abstractNumId w:val="5"/>
  </w:num>
  <w:num w:numId="11">
    <w:abstractNumId w:val="8"/>
  </w:num>
  <w:num w:numId="12">
    <w:abstractNumId w:val="9"/>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6"/>
  </w:num>
  <w:num w:numId="21">
    <w:abstractNumId w:val="7"/>
  </w:num>
  <w:num w:numId="22">
    <w:abstractNumId w:val="0"/>
  </w:num>
  <w:num w:numId="23">
    <w:abstractNumId w:val="3"/>
  </w:num>
  <w:num w:numId="24">
    <w:abstractNumId w:val="10"/>
  </w:num>
  <w:num w:numId="25">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801"/>
  <w:defaultTabStop w:val="708"/>
  <w:hyphenationZone w:val="425"/>
  <w:clickAndTypeStyle w:val="RStekst"/>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8CE"/>
    <w:rsid w:val="00033B33"/>
    <w:rsid w:val="0013429F"/>
    <w:rsid w:val="0015173A"/>
    <w:rsid w:val="00155DE3"/>
    <w:rsid w:val="00207B71"/>
    <w:rsid w:val="00226625"/>
    <w:rsid w:val="0052545E"/>
    <w:rsid w:val="00567DC5"/>
    <w:rsid w:val="0057360F"/>
    <w:rsid w:val="00580040"/>
    <w:rsid w:val="005B06BB"/>
    <w:rsid w:val="005C547A"/>
    <w:rsid w:val="00644177"/>
    <w:rsid w:val="006767D2"/>
    <w:rsid w:val="00696037"/>
    <w:rsid w:val="00762974"/>
    <w:rsid w:val="007729CE"/>
    <w:rsid w:val="007D5587"/>
    <w:rsid w:val="00836454"/>
    <w:rsid w:val="00930DEA"/>
    <w:rsid w:val="00957881"/>
    <w:rsid w:val="00A00E80"/>
    <w:rsid w:val="00A166CE"/>
    <w:rsid w:val="00A468DE"/>
    <w:rsid w:val="00A65B20"/>
    <w:rsid w:val="00AF02A5"/>
    <w:rsid w:val="00B409F6"/>
    <w:rsid w:val="00B47009"/>
    <w:rsid w:val="00B85A5E"/>
    <w:rsid w:val="00BB6056"/>
    <w:rsid w:val="00C108CE"/>
    <w:rsid w:val="00C6074E"/>
    <w:rsid w:val="00C664F3"/>
    <w:rsid w:val="00CE2980"/>
    <w:rsid w:val="00D2404E"/>
    <w:rsid w:val="00D93AAB"/>
    <w:rsid w:val="00DB3375"/>
    <w:rsid w:val="00EC1DA6"/>
    <w:rsid w:val="00ED75B8"/>
    <w:rsid w:val="00F025F6"/>
    <w:rsid w:val="00FC0FA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semiHidden="0" w:uiPriority="35" w:unhideWhenUsed="0" w:qFormat="1"/>
    <w:lsdException w:name="footnote reference" w:locked="1" w:semiHidden="0" w:uiPriority="0" w:unhideWhenUsed="0"/>
    <w:lsdException w:name="Title" w:semiHidden="0" w:uiPriority="10" w:unhideWhenUsed="0" w:qFormat="1"/>
    <w:lsdException w:name="Default Paragraph Font" w:locked="1"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CE"/>
    <w:pPr>
      <w:spacing w:before="80" w:after="80" w:line="280" w:lineRule="atLeast"/>
      <w:contextualSpacing/>
      <w:jc w:val="both"/>
    </w:pPr>
    <w:rPr>
      <w:rFonts w:ascii="Garamond" w:hAnsi="Garamond"/>
      <w:szCs w:val="20"/>
      <w:lang w:eastAsia="en-US"/>
    </w:rPr>
  </w:style>
  <w:style w:type="paragraph" w:styleId="Heading1">
    <w:name w:val="heading 1"/>
    <w:basedOn w:val="Normal"/>
    <w:next w:val="Normal"/>
    <w:link w:val="Heading1Char"/>
    <w:uiPriority w:val="99"/>
    <w:qFormat/>
    <w:rsid w:val="00A65B20"/>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Heading2">
    <w:name w:val="heading 2"/>
    <w:basedOn w:val="Normal"/>
    <w:next w:val="Normal"/>
    <w:link w:val="Heading2Char"/>
    <w:uiPriority w:val="99"/>
    <w:qFormat/>
    <w:rsid w:val="00A65B20"/>
    <w:pPr>
      <w:keepNext/>
      <w:outlineLvl w:val="1"/>
    </w:pPr>
    <w:rPr>
      <w:sz w:val="24"/>
    </w:rPr>
  </w:style>
  <w:style w:type="paragraph" w:styleId="Heading3">
    <w:name w:val="heading 3"/>
    <w:basedOn w:val="Normal"/>
    <w:next w:val="Normal"/>
    <w:link w:val="Heading3Char"/>
    <w:uiPriority w:val="99"/>
    <w:qFormat/>
    <w:rsid w:val="00A65B20"/>
    <w:pPr>
      <w:keepNext/>
      <w:outlineLvl w:val="2"/>
    </w:pPr>
    <w:rPr>
      <w:b/>
      <w:sz w:val="28"/>
    </w:rPr>
  </w:style>
  <w:style w:type="paragraph" w:styleId="Heading4">
    <w:name w:val="heading 4"/>
    <w:basedOn w:val="Normal"/>
    <w:next w:val="Normal"/>
    <w:link w:val="Heading4Char"/>
    <w:uiPriority w:val="99"/>
    <w:qFormat/>
    <w:rsid w:val="00A65B20"/>
    <w:pPr>
      <w:keepNext/>
      <w:widowControl w:val="0"/>
      <w:spacing w:before="120" w:after="120"/>
      <w:outlineLvl w:val="3"/>
    </w:pPr>
    <w:rPr>
      <w:b/>
    </w:rPr>
  </w:style>
  <w:style w:type="paragraph" w:styleId="Heading5">
    <w:name w:val="heading 5"/>
    <w:basedOn w:val="Normal"/>
    <w:next w:val="Normal"/>
    <w:link w:val="Heading5Char"/>
    <w:uiPriority w:val="99"/>
    <w:qFormat/>
    <w:rsid w:val="00A65B20"/>
    <w:pPr>
      <w:keepNext/>
      <w:jc w:val="center"/>
      <w:outlineLvl w:val="4"/>
    </w:pPr>
    <w:rPr>
      <w:b/>
    </w:rPr>
  </w:style>
  <w:style w:type="paragraph" w:styleId="Heading6">
    <w:name w:val="heading 6"/>
    <w:basedOn w:val="Normal"/>
    <w:next w:val="Normal"/>
    <w:link w:val="Heading6Char"/>
    <w:uiPriority w:val="99"/>
    <w:qFormat/>
    <w:rsid w:val="00A65B20"/>
    <w:pPr>
      <w:keepNext/>
      <w:spacing w:before="360"/>
      <w:jc w:val="center"/>
      <w:outlineLvl w:val="5"/>
    </w:pPr>
    <w:rPr>
      <w:b/>
    </w:rPr>
  </w:style>
  <w:style w:type="paragraph" w:styleId="Heading7">
    <w:name w:val="heading 7"/>
    <w:basedOn w:val="Normal"/>
    <w:next w:val="Normal"/>
    <w:link w:val="Heading7Char"/>
    <w:uiPriority w:val="99"/>
    <w:qFormat/>
    <w:rsid w:val="00A65B20"/>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Heading8">
    <w:name w:val="heading 8"/>
    <w:basedOn w:val="Normal"/>
    <w:next w:val="Normal"/>
    <w:link w:val="Heading8Char"/>
    <w:uiPriority w:val="99"/>
    <w:qFormat/>
    <w:rsid w:val="00A65B20"/>
    <w:pPr>
      <w:keepNext/>
      <w:outlineLvl w:val="7"/>
    </w:pPr>
    <w:rPr>
      <w:i/>
      <w:color w:val="000000"/>
    </w:rPr>
  </w:style>
  <w:style w:type="paragraph" w:styleId="Heading9">
    <w:name w:val="heading 9"/>
    <w:basedOn w:val="Normal"/>
    <w:next w:val="Normal"/>
    <w:link w:val="Heading9Char"/>
    <w:uiPriority w:val="99"/>
    <w:qFormat/>
    <w:rsid w:val="00A65B20"/>
    <w:pPr>
      <w:keepNext/>
      <w:ind w:left="-70"/>
      <w:jc w:val="center"/>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28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1428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1428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1428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1428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C1428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C1428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C1428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C14284"/>
    <w:rPr>
      <w:rFonts w:asciiTheme="majorHAnsi" w:eastAsiaTheme="majorEastAsia" w:hAnsiTheme="majorHAnsi" w:cstheme="majorBidi"/>
      <w:lang w:eastAsia="en-US"/>
    </w:rPr>
  </w:style>
  <w:style w:type="paragraph" w:styleId="BalloonText">
    <w:name w:val="Balloon Text"/>
    <w:basedOn w:val="Normal"/>
    <w:link w:val="BalloonTextChar"/>
    <w:uiPriority w:val="99"/>
    <w:semiHidden/>
    <w:rsid w:val="00A65B20"/>
    <w:rPr>
      <w:rFonts w:ascii="Tahoma" w:hAnsi="Tahoma" w:cs="Tahoma"/>
      <w:sz w:val="16"/>
      <w:szCs w:val="16"/>
    </w:rPr>
  </w:style>
  <w:style w:type="character" w:customStyle="1" w:styleId="BalloonTextChar">
    <w:name w:val="Balloon Text Char"/>
    <w:basedOn w:val="DefaultParagraphFont"/>
    <w:link w:val="BalloonText"/>
    <w:uiPriority w:val="99"/>
    <w:semiHidden/>
    <w:rsid w:val="00C14284"/>
    <w:rPr>
      <w:sz w:val="0"/>
      <w:szCs w:val="0"/>
      <w:lang w:eastAsia="en-US"/>
    </w:rPr>
  </w:style>
  <w:style w:type="paragraph" w:styleId="Header">
    <w:name w:val="header"/>
    <w:basedOn w:val="Normal"/>
    <w:link w:val="HeaderChar"/>
    <w:uiPriority w:val="99"/>
    <w:semiHidden/>
    <w:rsid w:val="00A65B20"/>
    <w:pPr>
      <w:tabs>
        <w:tab w:val="center" w:pos="4536"/>
        <w:tab w:val="right" w:pos="9072"/>
      </w:tabs>
    </w:pPr>
  </w:style>
  <w:style w:type="character" w:customStyle="1" w:styleId="HeaderChar">
    <w:name w:val="Header Char"/>
    <w:basedOn w:val="DefaultParagraphFont"/>
    <w:link w:val="Header"/>
    <w:uiPriority w:val="99"/>
    <w:semiHidden/>
    <w:rsid w:val="00C14284"/>
    <w:rPr>
      <w:rFonts w:ascii="Garamond" w:hAnsi="Garamond"/>
      <w:szCs w:val="20"/>
      <w:lang w:eastAsia="en-US"/>
    </w:rPr>
  </w:style>
  <w:style w:type="character" w:styleId="Hyperlink">
    <w:name w:val="Hyperlink"/>
    <w:basedOn w:val="DefaultParagraphFont"/>
    <w:uiPriority w:val="99"/>
    <w:semiHidden/>
    <w:rsid w:val="00A65B20"/>
    <w:rPr>
      <w:rFonts w:ascii="Garamond" w:hAnsi="Garamond" w:cs="Times New Roman"/>
      <w:color w:val="auto"/>
      <w:sz w:val="22"/>
      <w:u w:val="single"/>
      <w:lang w:val="sl-SI" w:eastAsia="sl-SI"/>
    </w:rPr>
  </w:style>
  <w:style w:type="paragraph" w:customStyle="1" w:styleId="RSGLAVNINASLOV">
    <w:name w:val="RS GLAVNI NASLOV"/>
    <w:basedOn w:val="Normal"/>
    <w:next w:val="RStekst"/>
    <w:uiPriority w:val="99"/>
    <w:rsid w:val="00A65B20"/>
    <w:pPr>
      <w:pageBreakBefore/>
      <w:numPr>
        <w:numId w:val="19"/>
      </w:numPr>
      <w:spacing w:before="1800" w:after="120" w:line="600" w:lineRule="atLeast"/>
      <w:contextualSpacing w:val="0"/>
      <w:jc w:val="left"/>
    </w:pPr>
    <w:rPr>
      <w:b/>
      <w:smallCaps/>
      <w:sz w:val="52"/>
      <w:szCs w:val="52"/>
    </w:rPr>
  </w:style>
  <w:style w:type="paragraph" w:customStyle="1" w:styleId="Kazalo">
    <w:name w:val="Kazalo"/>
    <w:basedOn w:val="RSGLAVNINASLOV"/>
    <w:autoRedefine/>
    <w:uiPriority w:val="99"/>
    <w:semiHidden/>
    <w:rsid w:val="00A65B20"/>
    <w:pPr>
      <w:numPr>
        <w:numId w:val="0"/>
      </w:numPr>
    </w:pPr>
  </w:style>
  <w:style w:type="paragraph" w:styleId="TOC1">
    <w:name w:val="toc 1"/>
    <w:basedOn w:val="Normal"/>
    <w:next w:val="Normal"/>
    <w:autoRedefine/>
    <w:uiPriority w:val="99"/>
    <w:rsid w:val="00A65B20"/>
    <w:pPr>
      <w:tabs>
        <w:tab w:val="right" w:pos="426"/>
        <w:tab w:val="right" w:pos="9072"/>
      </w:tabs>
      <w:spacing w:before="360"/>
      <w:ind w:left="284" w:hanging="284"/>
    </w:pPr>
    <w:rPr>
      <w:b/>
      <w:smallCaps/>
      <w:noProof/>
      <w:szCs w:val="22"/>
    </w:rPr>
  </w:style>
  <w:style w:type="paragraph" w:styleId="TOC2">
    <w:name w:val="toc 2"/>
    <w:basedOn w:val="Normal"/>
    <w:next w:val="Normal"/>
    <w:uiPriority w:val="99"/>
    <w:rsid w:val="00A65B20"/>
    <w:pPr>
      <w:tabs>
        <w:tab w:val="left" w:pos="993"/>
        <w:tab w:val="right" w:leader="dot" w:pos="9072"/>
      </w:tabs>
      <w:spacing w:before="120"/>
      <w:ind w:left="993" w:hanging="709"/>
    </w:pPr>
    <w:rPr>
      <w:smallCaps/>
      <w:szCs w:val="22"/>
    </w:rPr>
  </w:style>
  <w:style w:type="paragraph" w:styleId="TOC3">
    <w:name w:val="toc 3"/>
    <w:basedOn w:val="TOC2"/>
    <w:next w:val="Normal"/>
    <w:uiPriority w:val="99"/>
    <w:rsid w:val="00A65B20"/>
    <w:rPr>
      <w:smallCaps w:val="0"/>
    </w:rPr>
  </w:style>
  <w:style w:type="paragraph" w:styleId="TOC4">
    <w:name w:val="toc 4"/>
    <w:basedOn w:val="Normal"/>
    <w:next w:val="Normal"/>
    <w:uiPriority w:val="99"/>
    <w:rsid w:val="00A65B20"/>
    <w:pPr>
      <w:tabs>
        <w:tab w:val="left" w:pos="1134"/>
        <w:tab w:val="right" w:leader="dot" w:pos="9060"/>
      </w:tabs>
      <w:ind w:left="1134" w:hanging="850"/>
    </w:pPr>
    <w:rPr>
      <w:noProof/>
    </w:rPr>
  </w:style>
  <w:style w:type="paragraph" w:styleId="CommentText">
    <w:name w:val="annotation text"/>
    <w:basedOn w:val="Normal"/>
    <w:link w:val="CommentTextChar"/>
    <w:uiPriority w:val="99"/>
    <w:semiHidden/>
    <w:rsid w:val="00A65B20"/>
  </w:style>
  <w:style w:type="character" w:customStyle="1" w:styleId="CommentTextChar">
    <w:name w:val="Comment Text Char"/>
    <w:basedOn w:val="DefaultParagraphFont"/>
    <w:link w:val="CommentText"/>
    <w:uiPriority w:val="99"/>
    <w:semiHidden/>
    <w:rsid w:val="00C14284"/>
    <w:rPr>
      <w:rFonts w:ascii="Garamond" w:hAnsi="Garamond"/>
      <w:sz w:val="20"/>
      <w:szCs w:val="20"/>
      <w:lang w:eastAsia="en-US"/>
    </w:rPr>
  </w:style>
  <w:style w:type="character" w:styleId="CommentReference">
    <w:name w:val="annotation reference"/>
    <w:basedOn w:val="DefaultParagraphFont"/>
    <w:uiPriority w:val="99"/>
    <w:semiHidden/>
    <w:rsid w:val="00A65B20"/>
    <w:rPr>
      <w:rFonts w:ascii="Garamond" w:hAnsi="Garamond" w:cs="Times New Roman"/>
      <w:sz w:val="16"/>
      <w:lang w:val="sl-SI" w:eastAsia="sl-SI"/>
    </w:rPr>
  </w:style>
  <w:style w:type="paragraph" w:customStyle="1" w:styleId="RStekst">
    <w:name w:val="RS tekst"/>
    <w:link w:val="RStekstZnak"/>
    <w:uiPriority w:val="99"/>
    <w:rsid w:val="00A65B20"/>
    <w:pPr>
      <w:widowControl w:val="0"/>
      <w:spacing w:before="80" w:after="80" w:line="280" w:lineRule="atLeast"/>
      <w:contextualSpacing/>
      <w:jc w:val="both"/>
    </w:pPr>
    <w:rPr>
      <w:rFonts w:ascii="Garamond" w:hAnsi="Garamond"/>
      <w:bCs/>
      <w:szCs w:val="20"/>
      <w:lang w:eastAsia="en-US"/>
    </w:rPr>
  </w:style>
  <w:style w:type="paragraph" w:styleId="Footer">
    <w:name w:val="footer"/>
    <w:basedOn w:val="Normal"/>
    <w:link w:val="FooterChar"/>
    <w:uiPriority w:val="99"/>
    <w:semiHidden/>
    <w:rsid w:val="00A65B20"/>
    <w:pPr>
      <w:widowControl w:val="0"/>
      <w:tabs>
        <w:tab w:val="center" w:pos="4536"/>
        <w:tab w:val="right" w:pos="9072"/>
      </w:tabs>
    </w:pPr>
    <w:rPr>
      <w:bCs/>
    </w:rPr>
  </w:style>
  <w:style w:type="character" w:customStyle="1" w:styleId="FooterChar">
    <w:name w:val="Footer Char"/>
    <w:basedOn w:val="DefaultParagraphFont"/>
    <w:link w:val="Footer"/>
    <w:uiPriority w:val="99"/>
    <w:semiHidden/>
    <w:rsid w:val="00C14284"/>
    <w:rPr>
      <w:rFonts w:ascii="Garamond" w:hAnsi="Garamond"/>
      <w:szCs w:val="20"/>
      <w:lang w:eastAsia="en-US"/>
    </w:rPr>
  </w:style>
  <w:style w:type="paragraph" w:customStyle="1" w:styleId="PovzetekGlava">
    <w:name w:val="Povzetek Glava"/>
    <w:basedOn w:val="Normal"/>
    <w:next w:val="Heading2"/>
    <w:uiPriority w:val="99"/>
    <w:semiHidden/>
    <w:rsid w:val="00A65B20"/>
    <w:pPr>
      <w:widowControl w:val="0"/>
      <w:spacing w:before="0" w:after="240"/>
      <w:jc w:val="center"/>
    </w:pPr>
    <w:rPr>
      <w:bCs/>
    </w:rPr>
  </w:style>
  <w:style w:type="paragraph" w:customStyle="1" w:styleId="RSnatevanje">
    <w:name w:val="RS naštevanje"/>
    <w:basedOn w:val="Normal"/>
    <w:link w:val="RSnatevanjeZnak"/>
    <w:uiPriority w:val="99"/>
    <w:rsid w:val="00A65B20"/>
    <w:pPr>
      <w:widowControl w:val="0"/>
      <w:numPr>
        <w:numId w:val="10"/>
      </w:numPr>
    </w:pPr>
    <w:rPr>
      <w:bCs/>
    </w:rPr>
  </w:style>
  <w:style w:type="paragraph" w:customStyle="1" w:styleId="RSnatevanje2">
    <w:name w:val="RS naštevanje 2"/>
    <w:basedOn w:val="RSnatevanje"/>
    <w:uiPriority w:val="99"/>
    <w:rsid w:val="00A65B20"/>
    <w:pPr>
      <w:numPr>
        <w:numId w:val="12"/>
      </w:numPr>
    </w:pPr>
  </w:style>
  <w:style w:type="paragraph" w:customStyle="1" w:styleId="RSpodnaslov1">
    <w:name w:val="RS podnaslov 1"/>
    <w:basedOn w:val="Normal"/>
    <w:next w:val="RStekst"/>
    <w:uiPriority w:val="99"/>
    <w:rsid w:val="00A65B20"/>
    <w:pPr>
      <w:keepNext/>
      <w:numPr>
        <w:ilvl w:val="1"/>
        <w:numId w:val="19"/>
      </w:numPr>
      <w:spacing w:before="120" w:after="120"/>
      <w:contextualSpacing w:val="0"/>
      <w:jc w:val="left"/>
    </w:pPr>
    <w:rPr>
      <w:b/>
      <w:sz w:val="32"/>
      <w:szCs w:val="32"/>
    </w:rPr>
  </w:style>
  <w:style w:type="paragraph" w:customStyle="1" w:styleId="RSpodnaslov2">
    <w:name w:val="RS podnaslov 2"/>
    <w:basedOn w:val="Normal"/>
    <w:next w:val="RStekst"/>
    <w:link w:val="RSpodnaslov2Znak"/>
    <w:uiPriority w:val="99"/>
    <w:rsid w:val="00A65B20"/>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uiPriority w:val="99"/>
    <w:rsid w:val="00A65B20"/>
    <w:pPr>
      <w:numPr>
        <w:ilvl w:val="3"/>
      </w:numPr>
      <w:spacing w:before="80" w:after="80"/>
      <w:ind w:left="0" w:firstLine="0"/>
      <w:jc w:val="both"/>
    </w:pPr>
    <w:rPr>
      <w:b w:val="0"/>
      <w:sz w:val="22"/>
      <w:szCs w:val="22"/>
    </w:rPr>
  </w:style>
  <w:style w:type="paragraph" w:customStyle="1" w:styleId="RSpodnaslov3">
    <w:name w:val="RS podnaslov 3"/>
    <w:basedOn w:val="RSpodnaslov2"/>
    <w:next w:val="RStekst"/>
    <w:link w:val="RSpodnaslov3Znak"/>
    <w:uiPriority w:val="99"/>
    <w:rsid w:val="00A65B20"/>
    <w:pPr>
      <w:numPr>
        <w:ilvl w:val="4"/>
      </w:numPr>
      <w:spacing w:before="280" w:after="160"/>
    </w:pPr>
    <w:rPr>
      <w:sz w:val="22"/>
      <w:szCs w:val="22"/>
    </w:rPr>
  </w:style>
  <w:style w:type="paragraph" w:customStyle="1" w:styleId="RSpodnaslov4">
    <w:name w:val="RS podnaslov 4"/>
    <w:basedOn w:val="RSpodnaslov3"/>
    <w:next w:val="RStekst"/>
    <w:link w:val="RSpodnaslov4Znak"/>
    <w:autoRedefine/>
    <w:uiPriority w:val="99"/>
    <w:rsid w:val="00A65B20"/>
    <w:pPr>
      <w:numPr>
        <w:ilvl w:val="5"/>
      </w:numPr>
      <w:spacing w:before="80" w:after="80"/>
      <w:ind w:left="0" w:firstLine="0"/>
      <w:jc w:val="both"/>
    </w:pPr>
    <w:rPr>
      <w:b w:val="0"/>
      <w:bCs w:val="0"/>
      <w:szCs w:val="20"/>
    </w:rPr>
  </w:style>
  <w:style w:type="paragraph" w:customStyle="1" w:styleId="RSpodnaslov5">
    <w:name w:val="RS podnaslov 5"/>
    <w:basedOn w:val="RSpodnaslov4"/>
    <w:next w:val="RStekst"/>
    <w:link w:val="RSpodnaslov5Znak"/>
    <w:autoRedefine/>
    <w:uiPriority w:val="99"/>
    <w:rsid w:val="00A65B20"/>
    <w:pPr>
      <w:numPr>
        <w:ilvl w:val="6"/>
      </w:numPr>
      <w:spacing w:before="200"/>
    </w:pPr>
    <w:rPr>
      <w:bCs/>
      <w:szCs w:val="22"/>
    </w:rPr>
  </w:style>
  <w:style w:type="paragraph" w:customStyle="1" w:styleId="RSpodnaslov5a">
    <w:name w:val="RS podnaslov 5a"/>
    <w:basedOn w:val="RSpodnaslov5"/>
    <w:next w:val="RStekst"/>
    <w:uiPriority w:val="99"/>
    <w:rsid w:val="00A65B20"/>
    <w:pPr>
      <w:numPr>
        <w:ilvl w:val="7"/>
      </w:numPr>
      <w:spacing w:before="80"/>
      <w:ind w:left="0" w:firstLine="0"/>
    </w:pPr>
  </w:style>
  <w:style w:type="paragraph" w:customStyle="1" w:styleId="RSstevdatum">
    <w:name w:val="RS stev_datum"/>
    <w:basedOn w:val="Normal"/>
    <w:autoRedefine/>
    <w:uiPriority w:val="99"/>
    <w:semiHidden/>
    <w:rsid w:val="00A65B20"/>
    <w:pPr>
      <w:spacing w:before="0" w:after="0" w:line="240" w:lineRule="auto"/>
      <w:contextualSpacing w:val="0"/>
      <w:jc w:val="center"/>
    </w:pPr>
    <w:rPr>
      <w:sz w:val="28"/>
    </w:rPr>
  </w:style>
  <w:style w:type="paragraph" w:styleId="FootnoteText">
    <w:name w:val="footnote text"/>
    <w:basedOn w:val="Normal"/>
    <w:link w:val="FootnoteTextChar"/>
    <w:uiPriority w:val="99"/>
    <w:rsid w:val="00A65B20"/>
    <w:pPr>
      <w:widowControl w:val="0"/>
      <w:ind w:left="227" w:hanging="227"/>
    </w:pPr>
    <w:rPr>
      <w:bCs/>
      <w:sz w:val="20"/>
    </w:rPr>
  </w:style>
  <w:style w:type="character" w:customStyle="1" w:styleId="FootnoteTextChar">
    <w:name w:val="Footnote Text Char"/>
    <w:basedOn w:val="DefaultParagraphFont"/>
    <w:link w:val="FootnoteText"/>
    <w:uiPriority w:val="99"/>
    <w:semiHidden/>
    <w:rsid w:val="00C14284"/>
    <w:rPr>
      <w:rFonts w:ascii="Garamond" w:hAnsi="Garamond"/>
      <w:sz w:val="20"/>
      <w:szCs w:val="20"/>
      <w:lang w:eastAsia="en-US"/>
    </w:rPr>
  </w:style>
  <w:style w:type="character" w:styleId="FootnoteReference">
    <w:name w:val="footnote reference"/>
    <w:basedOn w:val="DefaultParagraphFont"/>
    <w:uiPriority w:val="99"/>
    <w:rsid w:val="00A65B20"/>
    <w:rPr>
      <w:rFonts w:ascii="Garamond" w:hAnsi="Garamond" w:cs="Times New Roman"/>
      <w:sz w:val="20"/>
      <w:vertAlign w:val="superscript"/>
      <w:lang w:val="sl-SI" w:eastAsia="sl-SI"/>
    </w:rPr>
  </w:style>
  <w:style w:type="character" w:styleId="PageNumber">
    <w:name w:val="page number"/>
    <w:basedOn w:val="DefaultParagraphFont"/>
    <w:uiPriority w:val="99"/>
    <w:rsid w:val="00A65B20"/>
    <w:rPr>
      <w:rFonts w:ascii="Garamond" w:hAnsi="Garamond" w:cs="Times New Roman"/>
      <w:sz w:val="20"/>
      <w:lang w:val="sl-SI" w:eastAsia="sl-SI"/>
    </w:rPr>
  </w:style>
  <w:style w:type="table" w:styleId="TableGrid">
    <w:name w:val="Table Grid"/>
    <w:basedOn w:val="TableNormal"/>
    <w:uiPriority w:val="99"/>
    <w:rsid w:val="00A65B20"/>
    <w:rPr>
      <w:rFonts w:ascii="Garamond" w:hAnsi="Garamond"/>
      <w:sz w:val="20"/>
      <w:szCs w:val="20"/>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uiPriority w:val="99"/>
    <w:rsid w:val="00AF02A5"/>
    <w:pPr>
      <w:tabs>
        <w:tab w:val="left" w:pos="851"/>
      </w:tabs>
      <w:ind w:left="851" w:hanging="851"/>
    </w:pPr>
  </w:style>
  <w:style w:type="paragraph" w:customStyle="1" w:styleId="Tabela-oznakazatabelo">
    <w:name w:val="Tabela - oznaka za tabelo"/>
    <w:basedOn w:val="Normal"/>
    <w:uiPriority w:val="99"/>
    <w:rsid w:val="00A65B20"/>
    <w:pPr>
      <w:widowControl w:val="0"/>
    </w:pPr>
    <w:rPr>
      <w:bCs/>
      <w:sz w:val="20"/>
    </w:rPr>
  </w:style>
  <w:style w:type="paragraph" w:styleId="BodyTextIndent">
    <w:name w:val="Body Text Indent"/>
    <w:basedOn w:val="Normal"/>
    <w:link w:val="BodyTextIndentChar"/>
    <w:uiPriority w:val="99"/>
    <w:semiHidden/>
    <w:rsid w:val="00A65B20"/>
    <w:pPr>
      <w:jc w:val="center"/>
    </w:pPr>
    <w:rPr>
      <w:b/>
      <w:lang w:eastAsia="sl-SI"/>
    </w:rPr>
  </w:style>
  <w:style w:type="character" w:customStyle="1" w:styleId="BodyTextIndentChar">
    <w:name w:val="Body Text Indent Char"/>
    <w:basedOn w:val="DefaultParagraphFont"/>
    <w:link w:val="BodyTextIndent"/>
    <w:uiPriority w:val="99"/>
    <w:semiHidden/>
    <w:rsid w:val="00C14284"/>
    <w:rPr>
      <w:rFonts w:ascii="Garamond" w:hAnsi="Garamond"/>
      <w:szCs w:val="20"/>
      <w:lang w:eastAsia="en-US"/>
    </w:rPr>
  </w:style>
  <w:style w:type="paragraph" w:styleId="CommentSubject">
    <w:name w:val="annotation subject"/>
    <w:basedOn w:val="CommentText"/>
    <w:next w:val="CommentText"/>
    <w:link w:val="CommentSubjectChar"/>
    <w:uiPriority w:val="99"/>
    <w:semiHidden/>
    <w:rsid w:val="00A65B20"/>
    <w:rPr>
      <w:b/>
      <w:bCs/>
    </w:rPr>
  </w:style>
  <w:style w:type="character" w:customStyle="1" w:styleId="CommentSubjectChar">
    <w:name w:val="Comment Subject Char"/>
    <w:basedOn w:val="CommentTextChar"/>
    <w:link w:val="CommentSubject"/>
    <w:uiPriority w:val="99"/>
    <w:semiHidden/>
    <w:rsid w:val="00C14284"/>
    <w:rPr>
      <w:b/>
      <w:bCs/>
    </w:rPr>
  </w:style>
  <w:style w:type="paragraph" w:styleId="DocumentMap">
    <w:name w:val="Document Map"/>
    <w:basedOn w:val="Normal"/>
    <w:link w:val="DocumentMapChar"/>
    <w:uiPriority w:val="99"/>
    <w:semiHidden/>
    <w:rsid w:val="00A65B2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14284"/>
    <w:rPr>
      <w:sz w:val="0"/>
      <w:szCs w:val="0"/>
      <w:lang w:eastAsia="en-US"/>
    </w:rPr>
  </w:style>
  <w:style w:type="paragraph" w:styleId="Caption">
    <w:name w:val="caption"/>
    <w:basedOn w:val="RStekst"/>
    <w:next w:val="RStekst"/>
    <w:uiPriority w:val="99"/>
    <w:qFormat/>
    <w:rsid w:val="00A65B20"/>
    <w:rPr>
      <w:bCs w:val="0"/>
    </w:rPr>
  </w:style>
  <w:style w:type="character" w:customStyle="1" w:styleId="RSpodnaslov2Znak">
    <w:name w:val="RS podnaslov 2 Znak"/>
    <w:link w:val="RSpodnaslov2"/>
    <w:uiPriority w:val="99"/>
    <w:locked/>
    <w:rsid w:val="00A65B20"/>
    <w:rPr>
      <w:rFonts w:ascii="Garamond" w:hAnsi="Garamond"/>
      <w:b/>
      <w:sz w:val="26"/>
    </w:rPr>
  </w:style>
  <w:style w:type="character" w:customStyle="1" w:styleId="RSpodnaslov3Znak">
    <w:name w:val="RS podnaslov 3 Znak"/>
    <w:link w:val="RSpodnaslov3"/>
    <w:uiPriority w:val="99"/>
    <w:locked/>
    <w:rsid w:val="00A65B20"/>
    <w:rPr>
      <w:rFonts w:ascii="Garamond" w:hAnsi="Garamond"/>
      <w:b/>
      <w:sz w:val="22"/>
    </w:rPr>
  </w:style>
  <w:style w:type="character" w:customStyle="1" w:styleId="RSpodnaslov4Znak">
    <w:name w:val="RS podnaslov 4 Znak"/>
    <w:link w:val="RSpodnaslov4"/>
    <w:uiPriority w:val="99"/>
    <w:locked/>
    <w:rsid w:val="00A65B20"/>
    <w:rPr>
      <w:rFonts w:ascii="Garamond" w:hAnsi="Garamond"/>
      <w:sz w:val="22"/>
    </w:rPr>
  </w:style>
  <w:style w:type="character" w:customStyle="1" w:styleId="RSpodnaslov5Znak">
    <w:name w:val="RS podnaslov 5 Znak"/>
    <w:link w:val="RSpodnaslov5"/>
    <w:uiPriority w:val="99"/>
    <w:locked/>
    <w:rsid w:val="00A65B20"/>
    <w:rPr>
      <w:rFonts w:ascii="Garamond" w:hAnsi="Garamond"/>
      <w:sz w:val="22"/>
    </w:rPr>
  </w:style>
  <w:style w:type="paragraph" w:customStyle="1" w:styleId="Slika">
    <w:name w:val="Slika"/>
    <w:basedOn w:val="RStekst"/>
    <w:next w:val="RStekst"/>
    <w:uiPriority w:val="99"/>
    <w:rsid w:val="005C547A"/>
  </w:style>
  <w:style w:type="paragraph" w:customStyle="1" w:styleId="Tabela">
    <w:name w:val="Tabela"/>
    <w:basedOn w:val="RStekst"/>
    <w:next w:val="RStekst"/>
    <w:uiPriority w:val="99"/>
    <w:rsid w:val="005C547A"/>
  </w:style>
  <w:style w:type="paragraph" w:styleId="NormalWeb">
    <w:name w:val="Normal (Web)"/>
    <w:basedOn w:val="Normal"/>
    <w:uiPriority w:val="99"/>
    <w:semiHidden/>
    <w:rsid w:val="00A65B20"/>
    <w:rPr>
      <w:szCs w:val="24"/>
    </w:rPr>
  </w:style>
  <w:style w:type="paragraph" w:customStyle="1" w:styleId="Preformatted">
    <w:name w:val="Preformatted"/>
    <w:basedOn w:val="Normal"/>
    <w:uiPriority w:val="99"/>
    <w:semiHidden/>
    <w:rsid w:val="00A65B2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sl-SI"/>
    </w:rPr>
  </w:style>
  <w:style w:type="paragraph" w:customStyle="1" w:styleId="RS-Slika">
    <w:name w:val="RS - Slika"/>
    <w:basedOn w:val="RStekst"/>
    <w:next w:val="RStekst"/>
    <w:uiPriority w:val="99"/>
    <w:rsid w:val="00A65B20"/>
    <w:pPr>
      <w:keepNext/>
      <w:numPr>
        <w:numId w:val="8"/>
      </w:numPr>
    </w:pPr>
  </w:style>
  <w:style w:type="paragraph" w:customStyle="1" w:styleId="RS-Tabela">
    <w:name w:val="RS - Tabela"/>
    <w:basedOn w:val="RStekst"/>
    <w:next w:val="RStekst"/>
    <w:uiPriority w:val="99"/>
    <w:rsid w:val="00A65B20"/>
    <w:pPr>
      <w:keepNext/>
      <w:numPr>
        <w:numId w:val="9"/>
      </w:numPr>
    </w:pPr>
  </w:style>
  <w:style w:type="paragraph" w:customStyle="1" w:styleId="RS-tabela-naslovnavrstica">
    <w:name w:val="RS - tabela - naslovna vrstica"/>
    <w:basedOn w:val="RStekst"/>
    <w:uiPriority w:val="99"/>
    <w:rsid w:val="00A65B20"/>
    <w:pPr>
      <w:spacing w:line="240" w:lineRule="auto"/>
      <w:jc w:val="center"/>
    </w:pPr>
    <w:rPr>
      <w:rFonts w:cs="Tahoma"/>
      <w:b/>
      <w:szCs w:val="16"/>
    </w:rPr>
  </w:style>
  <w:style w:type="paragraph" w:customStyle="1" w:styleId="RS-tabela-odstotek">
    <w:name w:val="RS - tabela - odstotek"/>
    <w:basedOn w:val="RStekst"/>
    <w:uiPriority w:val="99"/>
    <w:rsid w:val="00A00E80"/>
    <w:pPr>
      <w:contextualSpacing w:val="0"/>
      <w:jc w:val="center"/>
    </w:pPr>
    <w:rPr>
      <w:rFonts w:cs="Tahoma"/>
      <w:szCs w:val="16"/>
    </w:rPr>
  </w:style>
  <w:style w:type="paragraph" w:customStyle="1" w:styleId="RS-tabela-znesek">
    <w:name w:val="RS - tabela - znesek"/>
    <w:basedOn w:val="RStekst"/>
    <w:uiPriority w:val="99"/>
    <w:rsid w:val="00A00E80"/>
    <w:pPr>
      <w:ind w:right="227"/>
      <w:contextualSpacing w:val="0"/>
      <w:jc w:val="right"/>
    </w:pPr>
    <w:rPr>
      <w:rFonts w:cs="Tahoma"/>
      <w:szCs w:val="16"/>
    </w:rPr>
  </w:style>
  <w:style w:type="paragraph" w:customStyle="1" w:styleId="RS-tabela-formula">
    <w:name w:val="RS - tabela-formula"/>
    <w:basedOn w:val="RStekst"/>
    <w:next w:val="RStekst"/>
    <w:uiPriority w:val="99"/>
    <w:rsid w:val="00A65B20"/>
    <w:pPr>
      <w:spacing w:before="0" w:after="0" w:line="240" w:lineRule="auto"/>
      <w:contextualSpacing w:val="0"/>
      <w:jc w:val="center"/>
    </w:pPr>
    <w:rPr>
      <w:rFonts w:cs="Tahoma"/>
      <w:sz w:val="18"/>
      <w:szCs w:val="16"/>
    </w:rPr>
  </w:style>
  <w:style w:type="paragraph" w:customStyle="1" w:styleId="RSnaslpor">
    <w:name w:val="RS nasl. por."/>
    <w:basedOn w:val="Normal"/>
    <w:uiPriority w:val="99"/>
    <w:semiHidden/>
    <w:rsid w:val="00A65B20"/>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uiPriority w:val="99"/>
    <w:rsid w:val="00A65B20"/>
    <w:pPr>
      <w:numPr>
        <w:numId w:val="11"/>
      </w:numPr>
    </w:pPr>
  </w:style>
  <w:style w:type="character" w:customStyle="1" w:styleId="RStekstZnak">
    <w:name w:val="RS tekst Znak"/>
    <w:link w:val="RStekst"/>
    <w:uiPriority w:val="99"/>
    <w:locked/>
    <w:rsid w:val="00A65B20"/>
    <w:rPr>
      <w:rFonts w:ascii="Garamond" w:hAnsi="Garamond"/>
      <w:sz w:val="22"/>
      <w:lang w:eastAsia="en-US"/>
    </w:rPr>
  </w:style>
  <w:style w:type="paragraph" w:styleId="List">
    <w:name w:val="List"/>
    <w:basedOn w:val="Normal"/>
    <w:uiPriority w:val="99"/>
    <w:rsid w:val="00A65B20"/>
    <w:pPr>
      <w:ind w:left="283" w:hanging="283"/>
    </w:pPr>
  </w:style>
  <w:style w:type="character" w:customStyle="1" w:styleId="RSnatevanjeZnak">
    <w:name w:val="RS naštevanje Znak"/>
    <w:link w:val="RSnatevanje"/>
    <w:uiPriority w:val="99"/>
    <w:locked/>
    <w:rsid w:val="00C108CE"/>
    <w:rPr>
      <w:rFonts w:ascii="Garamond" w:hAnsi="Garamond"/>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1449</Words>
  <Characters>8260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Prazen dokument z RSRS slogi</dc:title>
  <dc:subject/>
  <dc:creator>Mojca Planinšek</dc:creator>
  <cp:keywords/>
  <dc:description/>
  <cp:lastModifiedBy>Roman Lavtar</cp:lastModifiedBy>
  <cp:revision>2</cp:revision>
  <cp:lastPrinted>2015-02-11T11:36:00Z</cp:lastPrinted>
  <dcterms:created xsi:type="dcterms:W3CDTF">2015-02-11T11:36:00Z</dcterms:created>
  <dcterms:modified xsi:type="dcterms:W3CDTF">2015-02-11T11:36:00Z</dcterms:modified>
</cp:coreProperties>
</file>