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6B" w:rsidRPr="00C52038" w:rsidRDefault="00720A6B" w:rsidP="00720A6B">
      <w:pPr>
        <w:overflowPunct w:val="0"/>
        <w:autoSpaceDE w:val="0"/>
        <w:autoSpaceDN w:val="0"/>
        <w:adjustRightInd w:val="0"/>
        <w:ind w:left="400"/>
        <w:jc w:val="center"/>
        <w:textAlignment w:val="baseline"/>
        <w:rPr>
          <w:rFonts w:cs="Arial"/>
          <w:b/>
        </w:rPr>
      </w:pPr>
    </w:p>
    <w:p w:rsidR="0026207F" w:rsidRDefault="0026207F" w:rsidP="0026207F">
      <w:pPr>
        <w:suppressAutoHyphens/>
        <w:rPr>
          <w:rFonts w:cs="Arial"/>
          <w:b/>
          <w:lang w:eastAsia="ar-SA"/>
        </w:rPr>
      </w:pPr>
      <w:r>
        <w:rPr>
          <w:rFonts w:cs="Arial"/>
          <w:b/>
          <w:u w:val="single"/>
          <w:lang w:eastAsia="ar-SA"/>
        </w:rPr>
        <w:t>Ime predpisa:</w:t>
      </w:r>
      <w:r>
        <w:rPr>
          <w:rFonts w:cs="Arial"/>
          <w:b/>
          <w:lang w:eastAsia="ar-SA"/>
        </w:rPr>
        <w:t xml:space="preserve"> </w:t>
      </w:r>
    </w:p>
    <w:p w:rsidR="0026207F" w:rsidRDefault="0026207F" w:rsidP="0026207F">
      <w:pPr>
        <w:suppressAutoHyphens/>
        <w:rPr>
          <w:rFonts w:cs="Arial"/>
          <w:lang w:eastAsia="ar-SA"/>
        </w:rPr>
      </w:pPr>
      <w:r w:rsidRPr="0026207F">
        <w:rPr>
          <w:rFonts w:cs="Arial"/>
          <w:lang w:eastAsia="ar-SA"/>
        </w:rPr>
        <w:t>Ured</w:t>
      </w:r>
      <w:r w:rsidR="00CA5E1B">
        <w:rPr>
          <w:rFonts w:cs="Arial"/>
          <w:lang w:eastAsia="ar-SA"/>
        </w:rPr>
        <w:t>ba o spremembah in dopolnitvah U</w:t>
      </w:r>
      <w:r w:rsidRPr="0026207F">
        <w:rPr>
          <w:rFonts w:cs="Arial"/>
          <w:lang w:eastAsia="ar-SA"/>
        </w:rPr>
        <w:t>redbe o odpadni električni in elektronski opremi</w:t>
      </w:r>
    </w:p>
    <w:p w:rsidR="0026207F" w:rsidRDefault="0026207F" w:rsidP="0026207F">
      <w:pPr>
        <w:suppressAutoHyphens/>
        <w:rPr>
          <w:rFonts w:cs="Arial"/>
          <w:lang w:eastAsia="ar-SA"/>
        </w:rPr>
      </w:pPr>
    </w:p>
    <w:p w:rsidR="0026207F" w:rsidRPr="00064981" w:rsidRDefault="0026207F" w:rsidP="0026207F">
      <w:pPr>
        <w:suppressAutoHyphens/>
        <w:rPr>
          <w:rFonts w:cs="Arial"/>
          <w:b/>
          <w:u w:val="single"/>
          <w:lang w:eastAsia="ar-SA"/>
        </w:rPr>
      </w:pPr>
    </w:p>
    <w:p w:rsidR="0026207F" w:rsidRDefault="0026207F" w:rsidP="0026207F">
      <w:pPr>
        <w:suppressAutoHyphens/>
        <w:spacing w:line="240" w:lineRule="atLeast"/>
        <w:rPr>
          <w:rFonts w:cs="Arial"/>
          <w:b/>
          <w:lang w:eastAsia="ar-SA"/>
        </w:rPr>
      </w:pPr>
      <w:r w:rsidRPr="00064981">
        <w:rPr>
          <w:rFonts w:cs="Arial"/>
          <w:b/>
          <w:u w:val="single"/>
          <w:lang w:eastAsia="ar-SA"/>
        </w:rPr>
        <w:t>Št. zadeve:</w:t>
      </w:r>
      <w:r w:rsidRPr="00064981">
        <w:rPr>
          <w:rFonts w:cs="Arial"/>
          <w:b/>
          <w:lang w:eastAsia="ar-SA"/>
        </w:rPr>
        <w:t xml:space="preserve"> </w:t>
      </w:r>
    </w:p>
    <w:p w:rsidR="0026207F" w:rsidRDefault="0026207F" w:rsidP="0026207F">
      <w:pPr>
        <w:suppressAutoHyphens/>
        <w:spacing w:line="240" w:lineRule="atLeast"/>
        <w:rPr>
          <w:rFonts w:cs="Arial"/>
          <w:lang w:eastAsia="ar-SA"/>
        </w:rPr>
      </w:pPr>
      <w:r w:rsidRPr="0026207F">
        <w:rPr>
          <w:rFonts w:cs="Arial"/>
          <w:lang w:eastAsia="ar-SA"/>
        </w:rPr>
        <w:t>007-189/2016</w:t>
      </w:r>
    </w:p>
    <w:p w:rsidR="0026207F" w:rsidRDefault="0026207F" w:rsidP="0026207F">
      <w:pPr>
        <w:suppressAutoHyphens/>
        <w:spacing w:line="240" w:lineRule="atLeast"/>
        <w:rPr>
          <w:rFonts w:cs="Arial"/>
          <w:lang w:eastAsia="ar-SA"/>
        </w:rPr>
      </w:pPr>
    </w:p>
    <w:p w:rsidR="0026207F" w:rsidRPr="00064981" w:rsidRDefault="0026207F" w:rsidP="0026207F">
      <w:pPr>
        <w:suppressAutoHyphens/>
        <w:spacing w:line="240" w:lineRule="atLeast"/>
        <w:rPr>
          <w:rFonts w:cs="Arial"/>
          <w:b/>
          <w:lang w:eastAsia="ar-SA"/>
        </w:rPr>
      </w:pPr>
    </w:p>
    <w:p w:rsidR="0026207F" w:rsidRDefault="0026207F" w:rsidP="0026207F">
      <w:pPr>
        <w:suppressAutoHyphens/>
        <w:spacing w:line="240" w:lineRule="atLeast"/>
        <w:rPr>
          <w:rFonts w:cs="Arial"/>
          <w:b/>
          <w:u w:val="single"/>
          <w:lang w:eastAsia="ar-SA"/>
        </w:rPr>
      </w:pPr>
      <w:r w:rsidRPr="00064981">
        <w:rPr>
          <w:rFonts w:cs="Arial"/>
          <w:b/>
          <w:u w:val="single"/>
          <w:lang w:eastAsia="ar-SA"/>
        </w:rPr>
        <w:t xml:space="preserve">Datum objave: </w:t>
      </w:r>
    </w:p>
    <w:p w:rsidR="0026207F" w:rsidRDefault="0026207F" w:rsidP="0026207F">
      <w:pPr>
        <w:suppressAutoHyphens/>
        <w:spacing w:line="240" w:lineRule="atLeast"/>
        <w:rPr>
          <w:rFonts w:cs="Arial"/>
          <w:lang w:eastAsia="ar-SA"/>
        </w:rPr>
      </w:pPr>
      <w:r w:rsidRPr="0026207F">
        <w:rPr>
          <w:rFonts w:cs="Arial"/>
          <w:lang w:eastAsia="ar-SA"/>
        </w:rPr>
        <w:t>9. 6. 2016</w:t>
      </w:r>
    </w:p>
    <w:p w:rsidR="0026207F" w:rsidRDefault="0026207F" w:rsidP="0026207F">
      <w:pPr>
        <w:suppressAutoHyphens/>
        <w:spacing w:line="240" w:lineRule="atLeast"/>
        <w:rPr>
          <w:rFonts w:cs="Arial"/>
          <w:lang w:eastAsia="ar-SA"/>
        </w:rPr>
      </w:pPr>
    </w:p>
    <w:p w:rsidR="0026207F" w:rsidRPr="00064981" w:rsidRDefault="0026207F" w:rsidP="0026207F">
      <w:pPr>
        <w:suppressAutoHyphens/>
        <w:spacing w:line="240" w:lineRule="atLeast"/>
        <w:rPr>
          <w:rFonts w:cs="Arial"/>
          <w:b/>
          <w:u w:val="single"/>
          <w:lang w:eastAsia="ar-SA"/>
        </w:rPr>
      </w:pPr>
    </w:p>
    <w:p w:rsidR="0026207F" w:rsidRPr="00064981" w:rsidRDefault="0026207F" w:rsidP="0026207F">
      <w:pPr>
        <w:suppressAutoHyphens/>
        <w:spacing w:line="240" w:lineRule="atLeast"/>
        <w:rPr>
          <w:rFonts w:cs="Arial"/>
          <w:b/>
          <w:u w:val="single"/>
          <w:lang w:eastAsia="ar-SA"/>
        </w:rPr>
      </w:pPr>
      <w:r w:rsidRPr="00064981">
        <w:rPr>
          <w:rFonts w:cs="Arial"/>
          <w:b/>
          <w:u w:val="single"/>
          <w:lang w:eastAsia="ar-SA"/>
        </w:rPr>
        <w:t xml:space="preserve">Rok za sprejem mnenj in pripomb: </w:t>
      </w:r>
    </w:p>
    <w:p w:rsidR="0026207F" w:rsidRDefault="0026207F" w:rsidP="0026207F">
      <w:pPr>
        <w:suppressAutoHyphens/>
        <w:spacing w:line="240" w:lineRule="atLeast"/>
        <w:rPr>
          <w:rFonts w:cs="Arial"/>
          <w:lang w:eastAsia="ar-SA"/>
        </w:rPr>
      </w:pPr>
      <w:r>
        <w:rPr>
          <w:rFonts w:cs="Arial"/>
          <w:lang w:eastAsia="ar-SA"/>
        </w:rPr>
        <w:t>23. 6. 2016</w:t>
      </w:r>
    </w:p>
    <w:p w:rsidR="0026207F" w:rsidRDefault="0026207F" w:rsidP="0026207F">
      <w:pPr>
        <w:suppressAutoHyphens/>
        <w:spacing w:line="240" w:lineRule="atLeast"/>
        <w:rPr>
          <w:rFonts w:cs="Arial"/>
          <w:lang w:eastAsia="ar-SA"/>
        </w:rPr>
      </w:pPr>
    </w:p>
    <w:p w:rsidR="0026207F" w:rsidRPr="00064981" w:rsidRDefault="0026207F" w:rsidP="0026207F">
      <w:pPr>
        <w:suppressAutoHyphens/>
        <w:spacing w:line="240" w:lineRule="atLeast"/>
        <w:rPr>
          <w:rFonts w:cs="Arial"/>
          <w:b/>
          <w:lang w:eastAsia="ar-SA"/>
        </w:rPr>
      </w:pPr>
    </w:p>
    <w:p w:rsidR="0026207F" w:rsidRDefault="0026207F" w:rsidP="0026207F">
      <w:pPr>
        <w:suppressAutoHyphens/>
        <w:spacing w:line="240" w:lineRule="atLeast"/>
        <w:rPr>
          <w:rFonts w:cs="Arial"/>
          <w:b/>
          <w:u w:val="single"/>
          <w:lang w:eastAsia="ar-SA"/>
        </w:rPr>
      </w:pPr>
      <w:r w:rsidRPr="00064981">
        <w:rPr>
          <w:rFonts w:cs="Arial"/>
          <w:b/>
          <w:u w:val="single"/>
          <w:lang w:eastAsia="ar-SA"/>
        </w:rPr>
        <w:t xml:space="preserve">Ime odgovorne osebe in e-naslov: </w:t>
      </w:r>
    </w:p>
    <w:p w:rsidR="0026207F" w:rsidRPr="0026207F" w:rsidRDefault="0026207F" w:rsidP="0026207F">
      <w:pPr>
        <w:suppressAutoHyphens/>
        <w:spacing w:line="240" w:lineRule="atLeast"/>
        <w:rPr>
          <w:rFonts w:cs="Arial"/>
          <w:color w:val="0000FF"/>
          <w:u w:val="single"/>
          <w:lang w:eastAsia="ar-SA"/>
        </w:rPr>
      </w:pPr>
      <w:r w:rsidRPr="0026207F">
        <w:rPr>
          <w:rFonts w:cs="Arial"/>
          <w:lang w:eastAsia="ar-SA"/>
        </w:rPr>
        <w:t xml:space="preserve">Peter Tomše, </w:t>
      </w:r>
      <w:hyperlink r:id="rId8" w:history="1">
        <w:r w:rsidRPr="0026207F">
          <w:rPr>
            <w:rFonts w:cs="Arial"/>
            <w:color w:val="0000FF"/>
            <w:u w:val="single"/>
            <w:lang w:eastAsia="ar-SA"/>
          </w:rPr>
          <w:t>gp.mop@gov.si</w:t>
        </w:r>
      </w:hyperlink>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Default="0026207F" w:rsidP="0026207F">
      <w:pPr>
        <w:suppressAutoHyphens/>
        <w:spacing w:line="240" w:lineRule="atLeast"/>
        <w:rPr>
          <w:rFonts w:cs="Arial"/>
          <w:color w:val="0000FF"/>
          <w:u w:val="single"/>
          <w:lang w:eastAsia="ar-SA"/>
        </w:rPr>
      </w:pPr>
    </w:p>
    <w:p w:rsidR="0026207F" w:rsidRPr="00064981" w:rsidRDefault="0026207F" w:rsidP="0026207F">
      <w:pPr>
        <w:suppressAutoHyphens/>
        <w:spacing w:line="240" w:lineRule="atLeast"/>
        <w:rPr>
          <w:rFonts w:cs="Arial"/>
          <w:b/>
          <w:u w:val="single"/>
          <w:lang w:eastAsia="ar-SA"/>
        </w:rPr>
      </w:pPr>
    </w:p>
    <w:p w:rsidR="00720A6B" w:rsidRDefault="00720A6B" w:rsidP="00720A6B">
      <w:pPr>
        <w:suppressAutoHyphens/>
        <w:rPr>
          <w:rFonts w:cs="Arial"/>
          <w:b/>
          <w:lang w:eastAsia="ar-SA"/>
        </w:rPr>
      </w:pPr>
      <w:r w:rsidRPr="00720A6B">
        <w:rPr>
          <w:rFonts w:cs="Arial"/>
          <w:b/>
          <w:lang w:eastAsia="ar-SA"/>
        </w:rPr>
        <w:t>OBRAZLOŽITEV:</w:t>
      </w:r>
    </w:p>
    <w:p w:rsidR="00720A6B" w:rsidRPr="00720A6B" w:rsidRDefault="00720A6B" w:rsidP="00720A6B">
      <w:pPr>
        <w:suppressAutoHyphens/>
        <w:rPr>
          <w:rFonts w:cs="Arial"/>
          <w:b/>
          <w:lang w:eastAsia="ar-SA"/>
        </w:rPr>
      </w:pPr>
    </w:p>
    <w:p w:rsidR="00720A6B" w:rsidRPr="00D74FAE" w:rsidRDefault="00720A6B" w:rsidP="00720A6B">
      <w:pPr>
        <w:suppressAutoHyphens/>
        <w:jc w:val="both"/>
        <w:rPr>
          <w:rFonts w:cs="Arial"/>
          <w:sz w:val="22"/>
          <w:szCs w:val="22"/>
          <w:lang w:eastAsia="ar-SA"/>
        </w:rPr>
      </w:pPr>
      <w:r w:rsidRPr="00D74FAE">
        <w:rPr>
          <w:rFonts w:cs="Arial"/>
          <w:sz w:val="22"/>
          <w:szCs w:val="22"/>
          <w:lang w:eastAsia="ar-SA"/>
        </w:rPr>
        <w:t xml:space="preserve">Pravna podlaga za predlog Uredbe o spremembah in dopolnitvah Uredbe o odpadni električni in elektronski opremi so drugi odstavek 19. člena, peti, šesti in sedmi odstavek 20. člena ter  prvi odstavek 115. člena Zakona o varstvu okolja </w:t>
      </w:r>
      <w:r w:rsidRPr="00D74FAE">
        <w:rPr>
          <w:rFonts w:cs="Arial"/>
          <w:sz w:val="22"/>
          <w:szCs w:val="22"/>
        </w:rPr>
        <w:t xml:space="preserve">(Uradni list RS, št. 39/06 – uradno prečiščeno besedilo, 49/06 – ZMetD, 66/06 – </w:t>
      </w:r>
      <w:proofErr w:type="spellStart"/>
      <w:r w:rsidRPr="00D74FAE">
        <w:rPr>
          <w:rFonts w:cs="Arial"/>
          <w:sz w:val="22"/>
          <w:szCs w:val="22"/>
        </w:rPr>
        <w:t>odl</w:t>
      </w:r>
      <w:proofErr w:type="spellEnd"/>
      <w:r w:rsidRPr="00D74FAE">
        <w:rPr>
          <w:rFonts w:cs="Arial"/>
          <w:sz w:val="22"/>
          <w:szCs w:val="22"/>
        </w:rPr>
        <w:t>. US, 33/07 – ZPNačrt, 57/08 – ZFO-1A, 70/08, 108/09, 108/09 – ZPNačrt-A, 48/12, 57/12, 92/13, 56/15 in 102/15).</w:t>
      </w:r>
      <w:r w:rsidRPr="00D74FAE">
        <w:rPr>
          <w:rFonts w:cs="Arial"/>
          <w:sz w:val="22"/>
          <w:szCs w:val="22"/>
          <w:lang w:eastAsia="ar-SA"/>
        </w:rPr>
        <w:t xml:space="preserve"> </w:t>
      </w:r>
    </w:p>
    <w:p w:rsidR="00720A6B" w:rsidRPr="00D74FAE" w:rsidRDefault="00720A6B" w:rsidP="00720A6B">
      <w:pPr>
        <w:suppressAutoHyphens/>
        <w:jc w:val="both"/>
        <w:rPr>
          <w:rFonts w:cs="Arial"/>
          <w:sz w:val="22"/>
          <w:szCs w:val="22"/>
          <w:lang w:eastAsia="ar-SA"/>
        </w:rPr>
      </w:pPr>
    </w:p>
    <w:p w:rsidR="00720A6B" w:rsidRPr="00D74FAE" w:rsidRDefault="00720A6B" w:rsidP="00720A6B">
      <w:pPr>
        <w:suppressAutoHyphens/>
        <w:jc w:val="both"/>
        <w:rPr>
          <w:rFonts w:cs="Arial"/>
          <w:sz w:val="22"/>
          <w:szCs w:val="22"/>
          <w:lang w:eastAsia="ar-SA"/>
        </w:rPr>
      </w:pPr>
      <w:r w:rsidRPr="00D74FAE">
        <w:rPr>
          <w:rFonts w:cs="Arial"/>
          <w:sz w:val="22"/>
          <w:szCs w:val="22"/>
          <w:lang w:eastAsia="ar-SA"/>
        </w:rPr>
        <w:t xml:space="preserve">Predlog Uredbe o spremembah in dopolnitvah Uredbe o odpadni električni in elektronski opremi spreminja in dopolnjuje veljavno Uredbo o odpadni električni in elektronski opremi </w:t>
      </w:r>
      <w:r w:rsidRPr="00D74FAE">
        <w:rPr>
          <w:rFonts w:cs="Arial"/>
          <w:sz w:val="22"/>
          <w:szCs w:val="22"/>
        </w:rPr>
        <w:t>(Uradni list RS, št. 55/15)</w:t>
      </w:r>
      <w:r w:rsidRPr="00D74FAE">
        <w:rPr>
          <w:rFonts w:cs="Arial"/>
          <w:sz w:val="22"/>
          <w:szCs w:val="22"/>
          <w:lang w:eastAsia="ar-SA"/>
        </w:rPr>
        <w:t xml:space="preserve"> (v nadaljnjem besedilu: Uredba), ki z namenom varstva okolja in človekovega zdravja določa pravila ravnanja in druge pogoje za preprečevanje in zmanjševanje škodljivih vplivov nastajanja odpadne električne in elektronske opreme (v nadaljnjem besedilu: OEEO) in pri ravnanju z njo. Uredba prenaša zahteve Direktive Evropskega parlamenta in Sveta 2012/19/ES z dne 4. julija 2015 o odpadni električni in elektronski opremi (OEEO) (UL L št. 197 z dne 24. julija 2012, str. 34; v nadaljnjem besedilu: Direktiva 2012/19/ES). </w:t>
      </w:r>
    </w:p>
    <w:p w:rsidR="00720A6B" w:rsidRPr="00D74FAE" w:rsidRDefault="00720A6B" w:rsidP="00720A6B">
      <w:pPr>
        <w:suppressAutoHyphens/>
        <w:jc w:val="both"/>
        <w:rPr>
          <w:rFonts w:cs="Arial"/>
          <w:sz w:val="22"/>
          <w:szCs w:val="22"/>
          <w:lang w:eastAsia="ar-SA"/>
        </w:rPr>
      </w:pPr>
    </w:p>
    <w:p w:rsidR="00720A6B" w:rsidRPr="00D74FAE" w:rsidRDefault="00720A6B" w:rsidP="00720A6B">
      <w:pPr>
        <w:suppressAutoHyphens/>
        <w:jc w:val="both"/>
        <w:rPr>
          <w:rFonts w:cs="Arial"/>
          <w:sz w:val="22"/>
          <w:szCs w:val="22"/>
          <w:lang w:eastAsia="ar-SA"/>
        </w:rPr>
      </w:pPr>
      <w:r w:rsidRPr="00D74FAE">
        <w:rPr>
          <w:rFonts w:cs="Arial"/>
          <w:sz w:val="22"/>
          <w:szCs w:val="22"/>
          <w:lang w:eastAsia="ar-SA"/>
        </w:rPr>
        <w:t>Uredba je bila sprejeta julija 2015. Glavni razlog za njeno dopolnitev je v tem, da je bilo pri njenem izvajanju ugotovljeno, da je pomanjkljivo urejeno prehodno obdobje v zvezi z določbami o finančnem jamstvu. Veljavna uredba med drugim zahteva zagotovitev finančnega jamstva za izvajanje načrta oziroma skupnega načrta ravnanja z OEEO za vsako leto posebej. Zavezancu finančno jamstvo in njegovo višino za posamezno leto določi ministrstvo, pristojno za okolje, z odločbo. V skladu z uredbo se za določitev višine finančnega jamstva upošteva višina stroškov na podlagi revidiranega finančnega poročila zavezanca, in sicer prvič v letu 2017. Veljavna uredba je sicer v prehodnih določbah določila, kako in kdaj se finančno jamstvo in njegova višina obstoječim zavezancem določita prvič, vendar je bila ta določba izrabljena za izdajo odločb o finančnem jamstvu že v letu 2015. Glede na navedeno Uredba ne daje podlage za izdajo odločb o finančnem jamstvu v letu 2016.</w:t>
      </w:r>
    </w:p>
    <w:p w:rsidR="00720A6B" w:rsidRPr="00D74FAE" w:rsidRDefault="00720A6B" w:rsidP="00720A6B">
      <w:pPr>
        <w:suppressAutoHyphens/>
        <w:jc w:val="both"/>
        <w:rPr>
          <w:rFonts w:cs="Arial"/>
          <w:sz w:val="22"/>
          <w:szCs w:val="22"/>
          <w:lang w:eastAsia="ar-SA"/>
        </w:rPr>
      </w:pPr>
    </w:p>
    <w:p w:rsidR="00720A6B" w:rsidRPr="00D74FAE" w:rsidRDefault="00720A6B" w:rsidP="00720A6B">
      <w:pPr>
        <w:suppressAutoHyphens/>
        <w:jc w:val="both"/>
        <w:rPr>
          <w:rFonts w:cs="Arial"/>
          <w:sz w:val="22"/>
          <w:szCs w:val="22"/>
          <w:lang w:eastAsia="ar-SA"/>
        </w:rPr>
      </w:pPr>
      <w:r w:rsidRPr="00D74FAE">
        <w:rPr>
          <w:rFonts w:cs="Arial"/>
          <w:sz w:val="22"/>
          <w:szCs w:val="22"/>
          <w:lang w:eastAsia="ar-SA"/>
        </w:rPr>
        <w:t xml:space="preserve">Z Uredbo o spremembah in dopolnitvah Uredbe o odpadni električni in elektronski opremi se zato dodatno določa način določitve finančnega jamstva in njegove višine obstoječim zavezancem v letu 2016. Dodan je nov 73. a člen, ki določa, da v letu 2016 ministrstvo obstoječim zavezancem določi </w:t>
      </w:r>
      <w:r w:rsidRPr="00D74FAE">
        <w:rPr>
          <w:rFonts w:cs="Arial"/>
          <w:sz w:val="22"/>
          <w:szCs w:val="22"/>
        </w:rPr>
        <w:t xml:space="preserve">finančno jamstvo z odločbo do 31. julija 2016, pri čemer se za določitev višine finančnega jamstva upoštevajo dejanski stroški izvajanja skupnega načrta </w:t>
      </w:r>
      <w:r w:rsidRPr="00D74FAE">
        <w:rPr>
          <w:rFonts w:cs="Arial"/>
          <w:sz w:val="22"/>
          <w:szCs w:val="22"/>
          <w:lang w:eastAsia="ar-SA"/>
        </w:rPr>
        <w:t xml:space="preserve">ravnanja z OEEO </w:t>
      </w:r>
      <w:r w:rsidRPr="00D74FAE">
        <w:rPr>
          <w:rFonts w:cs="Arial"/>
          <w:sz w:val="22"/>
          <w:szCs w:val="22"/>
        </w:rPr>
        <w:t>v letu 2015.</w:t>
      </w:r>
      <w:r w:rsidRPr="00D74FAE">
        <w:rPr>
          <w:rFonts w:cs="Arial"/>
          <w:sz w:val="22"/>
          <w:szCs w:val="22"/>
          <w:lang w:eastAsia="ar-SA"/>
        </w:rPr>
        <w:t xml:space="preserve"> Zavezanec </w:t>
      </w:r>
      <w:r w:rsidRPr="00D74FAE">
        <w:rPr>
          <w:rFonts w:cs="Arial"/>
          <w:sz w:val="22"/>
          <w:szCs w:val="22"/>
        </w:rPr>
        <w:t>mora finančno jamstvo poslati ministrstvu najpozneje do 1. septembra 2016, pri čemer mora biti njegova veljavnost 12 mesecev po njegovi izdaji. S tako dopolnitvijo bo pokrita praznina do določitve finančnega jamstva v letu 2017.</w:t>
      </w:r>
    </w:p>
    <w:p w:rsidR="00720A6B" w:rsidRPr="00D74FAE" w:rsidRDefault="00720A6B" w:rsidP="00720A6B">
      <w:pPr>
        <w:suppressAutoHyphens/>
        <w:jc w:val="both"/>
        <w:rPr>
          <w:rFonts w:cs="Arial"/>
          <w:sz w:val="22"/>
          <w:szCs w:val="22"/>
          <w:lang w:eastAsia="ar-SA"/>
        </w:rPr>
      </w:pPr>
    </w:p>
    <w:p w:rsidR="00720A6B" w:rsidRPr="00D74FAE" w:rsidRDefault="00720A6B" w:rsidP="00720A6B">
      <w:pPr>
        <w:spacing w:after="200" w:line="276" w:lineRule="auto"/>
        <w:jc w:val="both"/>
        <w:rPr>
          <w:rFonts w:cs="Arial"/>
          <w:b/>
          <w:sz w:val="22"/>
          <w:szCs w:val="22"/>
        </w:rPr>
      </w:pPr>
      <w:r w:rsidRPr="00D74FAE">
        <w:rPr>
          <w:rFonts w:cs="Arial"/>
          <w:sz w:val="22"/>
          <w:szCs w:val="22"/>
          <w:lang w:eastAsia="ar-SA"/>
        </w:rPr>
        <w:t>Predlog Uredbe o spremembah in dopolnitvah Uredbe o odpadni električni in elektronski opremi vsebuje še nekaj sprememb, ki so zlasti namenjene odpravi ugotovljenih manjših pomanjkljivosti, gre pa za:</w:t>
      </w:r>
    </w:p>
    <w:p w:rsidR="00720A6B" w:rsidRPr="00D74FAE" w:rsidRDefault="00720A6B" w:rsidP="00720A6B">
      <w:pPr>
        <w:spacing w:after="200" w:line="276" w:lineRule="auto"/>
        <w:jc w:val="both"/>
        <w:rPr>
          <w:rFonts w:cs="Arial"/>
          <w:sz w:val="22"/>
          <w:szCs w:val="22"/>
        </w:rPr>
      </w:pPr>
      <w:r w:rsidRPr="00D74FAE">
        <w:rPr>
          <w:rFonts w:cs="Arial"/>
          <w:sz w:val="22"/>
          <w:szCs w:val="22"/>
        </w:rPr>
        <w:t>6. točka 3. člena - pri opredelitvi električne in elektronske opreme (EEO) je beseda »oblikovana« uporabljena z vsebinsko primernejšo »zasnovana«.</w:t>
      </w:r>
    </w:p>
    <w:p w:rsidR="00720A6B" w:rsidRPr="00D74FAE" w:rsidRDefault="00720A6B" w:rsidP="00720A6B">
      <w:pPr>
        <w:spacing w:after="200" w:line="276" w:lineRule="auto"/>
        <w:jc w:val="both"/>
        <w:rPr>
          <w:rFonts w:cs="Arial"/>
          <w:sz w:val="22"/>
          <w:szCs w:val="22"/>
        </w:rPr>
      </w:pPr>
      <w:r w:rsidRPr="00D74FAE">
        <w:rPr>
          <w:rFonts w:cs="Arial"/>
          <w:sz w:val="22"/>
          <w:szCs w:val="22"/>
        </w:rPr>
        <w:t xml:space="preserve">4. odstavek 5. člena - pri določitvi načina označevanja EEO, ko predpisanega znaka ni mogoče natisniti na </w:t>
      </w:r>
      <w:bookmarkStart w:id="0" w:name="_GoBack"/>
      <w:bookmarkEnd w:id="0"/>
      <w:r w:rsidRPr="00D74FAE">
        <w:rPr>
          <w:rFonts w:cs="Arial"/>
          <w:sz w:val="22"/>
          <w:szCs w:val="22"/>
        </w:rPr>
        <w:t xml:space="preserve">EEO, je beseda »ali« nadomeščena s pomensko pravilno »in«, kar je </w:t>
      </w:r>
      <w:r w:rsidRPr="00D74FAE">
        <w:rPr>
          <w:rFonts w:cs="Arial"/>
          <w:sz w:val="22"/>
          <w:szCs w:val="22"/>
        </w:rPr>
        <w:lastRenderedPageBreak/>
        <w:t>tudi v skladu z vsebinsko isto določbo Direktive 2002/19/ES, ki jo Uredba prenaša v pravni red RS.</w:t>
      </w:r>
    </w:p>
    <w:p w:rsidR="00720A6B" w:rsidRPr="00D74FAE" w:rsidRDefault="00720A6B" w:rsidP="00720A6B">
      <w:pPr>
        <w:spacing w:after="200" w:line="276" w:lineRule="auto"/>
        <w:jc w:val="both"/>
        <w:rPr>
          <w:rFonts w:cs="Arial"/>
          <w:sz w:val="22"/>
          <w:szCs w:val="22"/>
        </w:rPr>
      </w:pPr>
      <w:r w:rsidRPr="00D74FAE">
        <w:rPr>
          <w:rFonts w:cs="Arial"/>
          <w:sz w:val="22"/>
          <w:szCs w:val="22"/>
        </w:rPr>
        <w:t xml:space="preserve">44. člen  - v drugem odstavku so predpisanim podatkom, ki jih vsebuje evidenca proizvajalcev in pooblaščenih zastopnikov poleg firme in sedeža dodani tudi podatki o osebnem imenu, za primer ko je zavezanec samostojni podjetnik. Dodatno je določena obveznost in način spremembe podatkov v evidenci proizvajalcev in pooblaščenih zastopnikov. </w:t>
      </w:r>
    </w:p>
    <w:p w:rsidR="00720A6B" w:rsidRPr="00D74FAE" w:rsidRDefault="00720A6B" w:rsidP="00720A6B">
      <w:pPr>
        <w:spacing w:after="200" w:line="276" w:lineRule="auto"/>
        <w:jc w:val="both"/>
        <w:rPr>
          <w:rFonts w:eastAsiaTheme="minorHAnsi" w:cs="Arial"/>
          <w:b/>
          <w:sz w:val="22"/>
          <w:szCs w:val="22"/>
        </w:rPr>
      </w:pPr>
      <w:r w:rsidRPr="00D74FAE">
        <w:rPr>
          <w:rFonts w:eastAsiaTheme="minorHAnsi" w:cs="Arial"/>
          <w:sz w:val="22"/>
          <w:szCs w:val="22"/>
        </w:rPr>
        <w:t>8. točka 54. člena - glede na nov 73. a člen, je spremenjena tudi osma točka 54. člena, ki določa sankcijo za neizpolnitev obveznosti posredovanja predloga višine finančnega jamstva, na podlagi katerega ministrstvo določi finančno jamstvo.</w:t>
      </w:r>
    </w:p>
    <w:p w:rsidR="00720A6B" w:rsidRPr="00D74FAE" w:rsidRDefault="00720A6B" w:rsidP="00720A6B">
      <w:pPr>
        <w:spacing w:after="200" w:line="276" w:lineRule="auto"/>
        <w:jc w:val="both"/>
        <w:rPr>
          <w:rFonts w:eastAsiaTheme="minorHAnsi" w:cs="Arial"/>
          <w:sz w:val="22"/>
          <w:szCs w:val="22"/>
        </w:rPr>
      </w:pPr>
      <w:r w:rsidRPr="00D74FAE">
        <w:rPr>
          <w:rFonts w:cs="Arial"/>
          <w:sz w:val="22"/>
          <w:szCs w:val="22"/>
        </w:rPr>
        <w:t>Priloga 4 – gre za popravka v tabeli pri točki 1 (vnesen manjkajoči razred EEO – 6 - električna in elektronska orodja (razen nepremičnih industrijskih orodij) in v tabeli pri točki 2 (pri navedbi razreda EEO 4 - Velika oprema, namesto »nobena zunanja dimenzija večja od 50 cm« je navedena »katera koli zunanja dimenzija večja od 50 cm.</w:t>
      </w:r>
      <w:r w:rsidRPr="00D74FAE">
        <w:rPr>
          <w:rFonts w:cs="Arial"/>
          <w:sz w:val="22"/>
          <w:szCs w:val="22"/>
        </w:rPr>
        <w:br w:type="page"/>
      </w:r>
    </w:p>
    <w:p w:rsidR="00720A6B" w:rsidRPr="00EC494D" w:rsidRDefault="00720A6B" w:rsidP="00720A6B">
      <w:pPr>
        <w:pStyle w:val="Telobesedila"/>
        <w:tabs>
          <w:tab w:val="left" w:pos="0"/>
        </w:tabs>
        <w:spacing w:line="260" w:lineRule="exact"/>
        <w:rPr>
          <w:rFonts w:ascii="Arial" w:hAnsi="Arial" w:cs="Arial"/>
          <w:b w:val="0"/>
          <w:sz w:val="22"/>
          <w:szCs w:val="22"/>
        </w:rPr>
      </w:pPr>
      <w:r w:rsidRPr="00EC494D">
        <w:rPr>
          <w:rFonts w:ascii="Arial" w:hAnsi="Arial" w:cs="Arial"/>
          <w:b w:val="0"/>
          <w:sz w:val="22"/>
          <w:szCs w:val="22"/>
        </w:rPr>
        <w:lastRenderedPageBreak/>
        <w:t xml:space="preserve">Na podlagi drugega odstavka 19. člena, petega, šestega in sedmega odstavka 20. člena, drugega odstavka 83. člena ter  prvega odstavka 115. člena in za izvrševanje 104. in 105. člena Zakona o varstvu okolja (Uradni list RS, št. 39/06 – uradno prečiščeno besedilo, 49/06 – ZMetD, 66/06 – </w:t>
      </w:r>
      <w:proofErr w:type="spellStart"/>
      <w:r w:rsidRPr="00EC494D">
        <w:rPr>
          <w:rFonts w:ascii="Arial" w:hAnsi="Arial" w:cs="Arial"/>
          <w:b w:val="0"/>
          <w:sz w:val="22"/>
          <w:szCs w:val="22"/>
        </w:rPr>
        <w:t>odl</w:t>
      </w:r>
      <w:proofErr w:type="spellEnd"/>
      <w:r w:rsidRPr="00EC494D">
        <w:rPr>
          <w:rFonts w:ascii="Arial" w:hAnsi="Arial" w:cs="Arial"/>
          <w:b w:val="0"/>
          <w:sz w:val="22"/>
          <w:szCs w:val="22"/>
        </w:rPr>
        <w:t xml:space="preserve">. US, 33/07 – ZPNačrt, 57/08 – ZFO-1A, 70/08, 108/09, 108/09 – ZPNačrt-A, 48/12, 57/12, 92/13, 56/15 in 102/15) izdaja Vlada Republike Slovenije </w:t>
      </w:r>
    </w:p>
    <w:p w:rsidR="00720A6B" w:rsidRPr="00722160" w:rsidRDefault="00720A6B" w:rsidP="00720A6B">
      <w:pPr>
        <w:pStyle w:val="Telobesedila"/>
        <w:tabs>
          <w:tab w:val="left" w:pos="0"/>
        </w:tabs>
        <w:spacing w:line="260" w:lineRule="exact"/>
        <w:rPr>
          <w:rFonts w:ascii="Arial" w:hAnsi="Arial" w:cs="Arial"/>
          <w:sz w:val="20"/>
        </w:rPr>
      </w:pPr>
    </w:p>
    <w:p w:rsidR="00720A6B" w:rsidRPr="00722160" w:rsidRDefault="00720A6B" w:rsidP="00720A6B">
      <w:pPr>
        <w:pStyle w:val="Telobesedila"/>
        <w:tabs>
          <w:tab w:val="left" w:pos="0"/>
        </w:tabs>
        <w:spacing w:line="260" w:lineRule="exact"/>
        <w:rPr>
          <w:rFonts w:ascii="Arial" w:hAnsi="Arial" w:cs="Arial"/>
          <w:sz w:val="20"/>
        </w:rPr>
      </w:pPr>
    </w:p>
    <w:p w:rsidR="00720A6B" w:rsidRPr="00722160" w:rsidRDefault="00720A6B" w:rsidP="00720A6B">
      <w:pPr>
        <w:pStyle w:val="Telobesedila"/>
        <w:tabs>
          <w:tab w:val="left" w:pos="0"/>
        </w:tabs>
        <w:spacing w:line="260" w:lineRule="exact"/>
        <w:jc w:val="center"/>
        <w:rPr>
          <w:rFonts w:ascii="Arial" w:hAnsi="Arial" w:cs="Arial"/>
          <w:sz w:val="20"/>
        </w:rPr>
      </w:pPr>
      <w:r w:rsidRPr="00722160">
        <w:rPr>
          <w:rFonts w:ascii="Arial" w:hAnsi="Arial" w:cs="Arial"/>
          <w:sz w:val="20"/>
        </w:rPr>
        <w:t>U R E D B O</w:t>
      </w:r>
    </w:p>
    <w:p w:rsidR="00720A6B" w:rsidRDefault="00720A6B" w:rsidP="00720A6B">
      <w:pPr>
        <w:pStyle w:val="Telobesedila"/>
        <w:tabs>
          <w:tab w:val="left" w:pos="0"/>
        </w:tabs>
        <w:spacing w:line="260" w:lineRule="exact"/>
        <w:jc w:val="center"/>
        <w:rPr>
          <w:rFonts w:ascii="Arial" w:hAnsi="Arial" w:cs="Arial"/>
          <w:sz w:val="20"/>
        </w:rPr>
      </w:pPr>
      <w:r w:rsidRPr="00722160">
        <w:rPr>
          <w:rFonts w:ascii="Arial" w:hAnsi="Arial" w:cs="Arial"/>
          <w:sz w:val="20"/>
        </w:rPr>
        <w:t xml:space="preserve">O </w:t>
      </w:r>
      <w:r>
        <w:rPr>
          <w:rFonts w:ascii="Arial" w:hAnsi="Arial" w:cs="Arial"/>
          <w:sz w:val="20"/>
        </w:rPr>
        <w:t xml:space="preserve">SPREMEMBAH IN DOPOLNITVAH UREDBE O </w:t>
      </w:r>
      <w:r w:rsidRPr="00722160">
        <w:rPr>
          <w:rFonts w:ascii="Arial" w:hAnsi="Arial" w:cs="Arial"/>
          <w:sz w:val="20"/>
        </w:rPr>
        <w:t>ODPADNI ELEKTRIČNI IN ELEKTRONSKI OPREMI</w:t>
      </w:r>
    </w:p>
    <w:p w:rsidR="00720A6B" w:rsidRDefault="00720A6B" w:rsidP="00720A6B">
      <w:pPr>
        <w:pStyle w:val="Telobesedila"/>
        <w:tabs>
          <w:tab w:val="left" w:pos="0"/>
        </w:tabs>
        <w:spacing w:line="260" w:lineRule="exact"/>
        <w:jc w:val="center"/>
        <w:rPr>
          <w:rFonts w:ascii="Arial" w:hAnsi="Arial" w:cs="Arial"/>
          <w:sz w:val="20"/>
        </w:rPr>
      </w:pPr>
    </w:p>
    <w:p w:rsidR="00720A6B" w:rsidRDefault="00720A6B" w:rsidP="00720A6B">
      <w:pPr>
        <w:pStyle w:val="Telobesedila"/>
        <w:tabs>
          <w:tab w:val="left" w:pos="0"/>
        </w:tabs>
        <w:spacing w:line="260" w:lineRule="exact"/>
        <w:jc w:val="center"/>
        <w:rPr>
          <w:rFonts w:ascii="Arial" w:hAnsi="Arial" w:cs="Arial"/>
          <w:sz w:val="20"/>
        </w:rPr>
      </w:pPr>
    </w:p>
    <w:p w:rsidR="00720A6B" w:rsidRPr="000F2C3A" w:rsidRDefault="00720A6B" w:rsidP="00720A6B">
      <w:pPr>
        <w:pStyle w:val="Telobesedila"/>
        <w:numPr>
          <w:ilvl w:val="0"/>
          <w:numId w:val="3"/>
        </w:numPr>
        <w:tabs>
          <w:tab w:val="left" w:pos="0"/>
        </w:tabs>
        <w:spacing w:line="260" w:lineRule="exact"/>
        <w:jc w:val="center"/>
        <w:rPr>
          <w:rFonts w:ascii="Arial" w:hAnsi="Arial" w:cs="Arial"/>
          <w:b w:val="0"/>
          <w:sz w:val="20"/>
        </w:rPr>
      </w:pPr>
      <w:r w:rsidRPr="000F2C3A">
        <w:rPr>
          <w:rFonts w:ascii="Arial" w:hAnsi="Arial" w:cs="Arial"/>
          <w:b w:val="0"/>
          <w:sz w:val="20"/>
        </w:rPr>
        <w:t>člen</w:t>
      </w:r>
    </w:p>
    <w:p w:rsidR="00720A6B" w:rsidRPr="00722160" w:rsidRDefault="00720A6B" w:rsidP="00720A6B">
      <w:pPr>
        <w:pStyle w:val="Telobesedila"/>
        <w:tabs>
          <w:tab w:val="left" w:pos="0"/>
        </w:tabs>
        <w:spacing w:line="260" w:lineRule="exact"/>
        <w:jc w:val="center"/>
        <w:rPr>
          <w:rFonts w:ascii="Arial" w:hAnsi="Arial" w:cs="Arial"/>
          <w:sz w:val="20"/>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V Uredbi o odpadni električni in elektronski opremi (Uradni list RS, št. 55/15) se v prvem odstavku 3. člena  6.  točka  spremeni tako, da se glasi:</w:t>
      </w: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»6. EEO je oprema, ki za svoje pravilno delovanje potrebuje električni tok ali elektromagnetno polje, in oprema za proizvodnjo, prenos in merjenje toka in polj, ter je zasnovana za uporabo za napetostni razred, ki ne presega 1000 voltov, za izmenični tok in 1500 voltov za enosmerni tok;«.</w:t>
      </w:r>
    </w:p>
    <w:p w:rsidR="00720A6B" w:rsidRDefault="00720A6B" w:rsidP="00720A6B">
      <w:pPr>
        <w:pStyle w:val="Telobesedila"/>
        <w:tabs>
          <w:tab w:val="left" w:pos="0"/>
        </w:tabs>
        <w:spacing w:line="260" w:lineRule="exact"/>
        <w:rPr>
          <w:rFonts w:ascii="Arial" w:hAnsi="Arial" w:cs="Arial"/>
          <w:b w:val="0"/>
          <w:sz w:val="20"/>
        </w:rPr>
      </w:pPr>
    </w:p>
    <w:p w:rsidR="00720A6B" w:rsidRDefault="00720A6B" w:rsidP="00720A6B">
      <w:pPr>
        <w:pStyle w:val="Telobesedila"/>
        <w:tabs>
          <w:tab w:val="left" w:pos="0"/>
        </w:tabs>
        <w:spacing w:line="260" w:lineRule="exact"/>
        <w:rPr>
          <w:rFonts w:ascii="Arial" w:hAnsi="Arial" w:cs="Arial"/>
          <w:b w:val="0"/>
          <w:sz w:val="20"/>
        </w:rPr>
      </w:pPr>
    </w:p>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člen</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V četrtem odstavku 5, člena se za besedilom »navodila za uporabo« beseda »ali« nadomesti z besedo »in«.</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člen</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 xml:space="preserve">V drugem odstavku 44. člena se v 1. točki za besedo »oziroma« doda beseda »osebnem«.  </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Doda se nov šesti odstavek, ki se glasi:</w:t>
      </w: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»(6) Ministrstvo na podlagi obvestila iz prejšnjega odstavka spremeni podatke v evidenci iz prvega odstavka in o tem izda spremembo potrdila iz četrtega odstavka oziroma izbriše proizvajalca ali pooblaščenega zastopnika iz evidence proizvajalcev z odločbo, če gre za opustitev dejavnosti.«.</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Dosedanja šesti in sedmi odstavek postaneta sedmi in osmi odstavek.</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člen</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 xml:space="preserve">Za 73. členom se doda nov </w:t>
      </w:r>
      <w:proofErr w:type="spellStart"/>
      <w:r w:rsidRPr="003B5B7D">
        <w:rPr>
          <w:rFonts w:ascii="Arial" w:hAnsi="Arial" w:cs="Arial"/>
          <w:b w:val="0"/>
          <w:sz w:val="22"/>
          <w:szCs w:val="22"/>
        </w:rPr>
        <w:t>73.a</w:t>
      </w:r>
      <w:proofErr w:type="spellEnd"/>
      <w:r w:rsidRPr="003B5B7D">
        <w:rPr>
          <w:rFonts w:ascii="Arial" w:hAnsi="Arial" w:cs="Arial"/>
          <w:b w:val="0"/>
          <w:sz w:val="22"/>
          <w:szCs w:val="22"/>
        </w:rPr>
        <w:t xml:space="preserve"> člen, ki se glasi:</w:t>
      </w:r>
    </w:p>
    <w:p w:rsidR="00720A6B" w:rsidRDefault="00720A6B" w:rsidP="00720A6B">
      <w:pPr>
        <w:pStyle w:val="Telobesedila"/>
        <w:tabs>
          <w:tab w:val="left" w:pos="0"/>
        </w:tabs>
        <w:spacing w:line="260" w:lineRule="exact"/>
        <w:rPr>
          <w:rFonts w:ascii="Arial" w:hAnsi="Arial" w:cs="Arial"/>
          <w:b w:val="0"/>
          <w:szCs w:val="22"/>
        </w:rPr>
      </w:pPr>
    </w:p>
    <w:p w:rsidR="00720A6B" w:rsidRDefault="00720A6B" w:rsidP="00720A6B">
      <w:pPr>
        <w:pStyle w:val="Telobesedila"/>
        <w:tabs>
          <w:tab w:val="left" w:pos="0"/>
        </w:tabs>
        <w:spacing w:line="260" w:lineRule="exact"/>
        <w:rPr>
          <w:rFonts w:ascii="Arial" w:hAnsi="Arial" w:cs="Arial"/>
          <w:b w:val="0"/>
          <w:szCs w:val="22"/>
        </w:rPr>
      </w:pPr>
    </w:p>
    <w:p w:rsidR="00720A6B" w:rsidRPr="003B5B7D" w:rsidRDefault="00720A6B" w:rsidP="00720A6B">
      <w:pPr>
        <w:pStyle w:val="Telobesedila"/>
        <w:tabs>
          <w:tab w:val="left" w:pos="0"/>
        </w:tabs>
        <w:spacing w:line="260" w:lineRule="exact"/>
        <w:jc w:val="center"/>
        <w:rPr>
          <w:rFonts w:ascii="Arial" w:hAnsi="Arial" w:cs="Arial"/>
          <w:sz w:val="22"/>
          <w:szCs w:val="22"/>
        </w:rPr>
      </w:pPr>
      <w:r w:rsidRPr="003B5B7D">
        <w:rPr>
          <w:rFonts w:ascii="Arial" w:hAnsi="Arial" w:cs="Arial"/>
          <w:sz w:val="22"/>
          <w:szCs w:val="22"/>
        </w:rPr>
        <w:t>»</w:t>
      </w:r>
      <w:proofErr w:type="spellStart"/>
      <w:r w:rsidRPr="003B5B7D">
        <w:rPr>
          <w:rFonts w:ascii="Arial" w:hAnsi="Arial" w:cs="Arial"/>
          <w:sz w:val="22"/>
          <w:szCs w:val="22"/>
        </w:rPr>
        <w:t>73.a</w:t>
      </w:r>
      <w:proofErr w:type="spellEnd"/>
      <w:r w:rsidRPr="003B5B7D">
        <w:rPr>
          <w:rFonts w:ascii="Arial" w:hAnsi="Arial" w:cs="Arial"/>
          <w:sz w:val="22"/>
          <w:szCs w:val="22"/>
        </w:rPr>
        <w:t xml:space="preserve"> člen</w:t>
      </w:r>
    </w:p>
    <w:p w:rsidR="00720A6B" w:rsidRPr="003B5B7D" w:rsidRDefault="00720A6B" w:rsidP="00720A6B">
      <w:pPr>
        <w:pStyle w:val="Telobesedila"/>
        <w:tabs>
          <w:tab w:val="left" w:pos="0"/>
        </w:tabs>
        <w:spacing w:line="260" w:lineRule="exact"/>
        <w:jc w:val="center"/>
        <w:rPr>
          <w:rFonts w:ascii="Arial" w:hAnsi="Arial" w:cs="Arial"/>
          <w:sz w:val="22"/>
          <w:szCs w:val="22"/>
        </w:rPr>
      </w:pPr>
      <w:r w:rsidRPr="003B5B7D">
        <w:rPr>
          <w:rFonts w:ascii="Arial" w:hAnsi="Arial" w:cs="Arial"/>
          <w:sz w:val="22"/>
          <w:szCs w:val="22"/>
        </w:rPr>
        <w:t>(določitev finančnega jamstva za obstoječe skupne načrte v letu 2016)</w:t>
      </w:r>
    </w:p>
    <w:p w:rsidR="00720A6B" w:rsidRPr="003B5B7D" w:rsidRDefault="00720A6B" w:rsidP="00720A6B">
      <w:pPr>
        <w:pStyle w:val="Telobesedila"/>
        <w:tabs>
          <w:tab w:val="left" w:pos="0"/>
        </w:tabs>
        <w:spacing w:line="260" w:lineRule="exact"/>
        <w:jc w:val="center"/>
        <w:rPr>
          <w:rFonts w:ascii="Arial" w:hAnsi="Arial" w:cs="Arial"/>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(1) V letu 2016 ministrstvo določi nosilcu skupnega načrta, ki je bil na dan uveljavitve te uredbe vpisan v evidenco iz 30. člena te uredbe, finančno jamstvo in njegovo višino z odločbo do 31. julija 2016.</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lastRenderedPageBreak/>
        <w:t>(2) Ministrstvo določi višino finančnega jamstva na podlagi predloga višine finančnega jamstva, ki ga nosilec skupnega načrta iz prejšnjega odstavka skupaj s prikazom izračuna pošlje ministrstvu najpozneje v 15 dneh po uveljavitvi te uredbe.</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(3) Nosilec skupnega načrta mora pri izračunu predloga finančnega jamstva iz prejšnjega odstavka upoštevati določbo prvega odstavka 37. člena te uredbe in dejanske stroške izvajanja skupnega načrta v letu 2015.</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 xml:space="preserve">(4) Nosilec skupnega načrta mora finančno jamstvo iz prvega odstavka tega člena poslati ministrstvu najpozneje do 1. septembra 2016, pri čemer mora biti veljavnost finančnega jamstva 12 mesecev po njegovi izdaji.«. </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 xml:space="preserve">člen </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V prvem odstavku 54. člena se v 8. točki za besedilom »73. člena« doda besedilo »ali drugega odstavka 73. a člena«.  </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člen</w:t>
      </w:r>
    </w:p>
    <w:p w:rsidR="00720A6B" w:rsidRPr="003B5B7D" w:rsidRDefault="00720A6B" w:rsidP="00720A6B">
      <w:pPr>
        <w:pStyle w:val="Telobesedila"/>
        <w:tabs>
          <w:tab w:val="left" w:pos="0"/>
        </w:tabs>
        <w:spacing w:line="260" w:lineRule="exact"/>
        <w:jc w:val="center"/>
        <w:rPr>
          <w:rFonts w:ascii="Arial" w:hAnsi="Arial" w:cs="Arial"/>
          <w:b w:val="0"/>
          <w:sz w:val="22"/>
          <w:szCs w:val="22"/>
        </w:rPr>
      </w:pPr>
    </w:p>
    <w:p w:rsidR="00720A6B" w:rsidRPr="003B5B7D" w:rsidRDefault="00720A6B" w:rsidP="00720A6B">
      <w:pPr>
        <w:pStyle w:val="Telobesedila"/>
        <w:tabs>
          <w:tab w:val="left" w:pos="0"/>
        </w:tabs>
        <w:spacing w:line="260" w:lineRule="exact"/>
        <w:rPr>
          <w:rFonts w:ascii="Arial" w:hAnsi="Arial" w:cs="Arial"/>
          <w:b w:val="0"/>
          <w:sz w:val="22"/>
          <w:szCs w:val="22"/>
        </w:rPr>
      </w:pPr>
      <w:r w:rsidRPr="003B5B7D">
        <w:rPr>
          <w:rFonts w:ascii="Arial" w:hAnsi="Arial" w:cs="Arial"/>
          <w:b w:val="0"/>
          <w:sz w:val="22"/>
          <w:szCs w:val="22"/>
        </w:rPr>
        <w:t xml:space="preserve">Priloga 4 se nadomesti z novo Prilogo 4, ki se glasi: </w:t>
      </w:r>
    </w:p>
    <w:p w:rsidR="00720A6B" w:rsidRPr="003B5B7D" w:rsidRDefault="00720A6B" w:rsidP="00720A6B">
      <w:pPr>
        <w:pStyle w:val="Telobesedila"/>
        <w:tabs>
          <w:tab w:val="left" w:pos="0"/>
        </w:tabs>
        <w:spacing w:line="260" w:lineRule="exact"/>
        <w:rPr>
          <w:rFonts w:ascii="Arial" w:hAnsi="Arial" w:cs="Arial"/>
          <w:b w:val="0"/>
          <w:sz w:val="22"/>
          <w:szCs w:val="22"/>
        </w:rPr>
      </w:pPr>
    </w:p>
    <w:p w:rsidR="00720A6B" w:rsidRPr="003B5B7D" w:rsidRDefault="00720A6B" w:rsidP="00720A6B">
      <w:pPr>
        <w:tabs>
          <w:tab w:val="left" w:pos="0"/>
        </w:tabs>
        <w:rPr>
          <w:rFonts w:cs="Arial"/>
          <w:b/>
          <w:bCs/>
          <w:sz w:val="22"/>
          <w:szCs w:val="22"/>
        </w:rPr>
      </w:pPr>
      <w:r w:rsidRPr="003B5B7D">
        <w:rPr>
          <w:rFonts w:cs="Arial"/>
          <w:sz w:val="22"/>
          <w:szCs w:val="22"/>
        </w:rPr>
        <w:t>»</w:t>
      </w:r>
      <w:r w:rsidRPr="003B5B7D">
        <w:rPr>
          <w:rFonts w:cs="Arial"/>
          <w:b/>
          <w:bCs/>
          <w:sz w:val="22"/>
          <w:szCs w:val="22"/>
        </w:rPr>
        <w:t>PRILOGA 4</w:t>
      </w:r>
    </w:p>
    <w:p w:rsidR="00720A6B" w:rsidRPr="003B5B7D" w:rsidRDefault="00720A6B" w:rsidP="00720A6B">
      <w:pPr>
        <w:tabs>
          <w:tab w:val="left" w:pos="0"/>
        </w:tabs>
        <w:jc w:val="center"/>
        <w:rPr>
          <w:rFonts w:cs="Arial"/>
          <w:b/>
          <w:sz w:val="22"/>
          <w:szCs w:val="22"/>
        </w:rPr>
      </w:pPr>
    </w:p>
    <w:p w:rsidR="00720A6B" w:rsidRPr="003B5B7D" w:rsidRDefault="00720A6B" w:rsidP="00720A6B">
      <w:pPr>
        <w:tabs>
          <w:tab w:val="left" w:pos="0"/>
        </w:tabs>
        <w:jc w:val="center"/>
        <w:rPr>
          <w:rFonts w:cs="Arial"/>
          <w:b/>
          <w:sz w:val="22"/>
          <w:szCs w:val="22"/>
        </w:rPr>
      </w:pPr>
      <w:r w:rsidRPr="003B5B7D">
        <w:rPr>
          <w:rFonts w:cs="Arial"/>
          <w:b/>
          <w:sz w:val="22"/>
          <w:szCs w:val="22"/>
        </w:rPr>
        <w:t>ZBIRNO – PREDELOVALNE SKUPINE OEEO</w:t>
      </w:r>
    </w:p>
    <w:p w:rsidR="00720A6B" w:rsidRPr="003B5B7D" w:rsidRDefault="00720A6B" w:rsidP="00720A6B">
      <w:pPr>
        <w:tabs>
          <w:tab w:val="left" w:pos="0"/>
        </w:tabs>
        <w:rPr>
          <w:rFonts w:cs="Arial"/>
          <w:b/>
          <w:sz w:val="22"/>
          <w:szCs w:val="22"/>
        </w:rPr>
      </w:pPr>
    </w:p>
    <w:p w:rsidR="00720A6B" w:rsidRPr="003B5B7D" w:rsidRDefault="00720A6B" w:rsidP="00720A6B">
      <w:pPr>
        <w:tabs>
          <w:tab w:val="left" w:pos="0"/>
        </w:tabs>
        <w:rPr>
          <w:rFonts w:cs="Arial"/>
          <w:b/>
          <w:sz w:val="22"/>
          <w:szCs w:val="22"/>
        </w:rPr>
      </w:pPr>
      <w:r w:rsidRPr="003B5B7D">
        <w:rPr>
          <w:rFonts w:cs="Arial"/>
          <w:b/>
          <w:sz w:val="22"/>
          <w:szCs w:val="22"/>
        </w:rPr>
        <w:t>Zbirno – predelovalne skupine OEEO so:</w:t>
      </w:r>
    </w:p>
    <w:p w:rsidR="00720A6B" w:rsidRPr="003B5B7D" w:rsidRDefault="00720A6B" w:rsidP="00720A6B">
      <w:pPr>
        <w:tabs>
          <w:tab w:val="left" w:pos="0"/>
        </w:tabs>
        <w:rPr>
          <w:rFonts w:cs="Arial"/>
          <w:b/>
          <w:sz w:val="22"/>
          <w:szCs w:val="22"/>
        </w:rPr>
      </w:pPr>
    </w:p>
    <w:p w:rsidR="00720A6B" w:rsidRPr="003B5B7D" w:rsidRDefault="00720A6B" w:rsidP="00720A6B">
      <w:pPr>
        <w:pStyle w:val="Odstavekseznama"/>
        <w:numPr>
          <w:ilvl w:val="0"/>
          <w:numId w:val="1"/>
        </w:numPr>
        <w:tabs>
          <w:tab w:val="left" w:pos="0"/>
        </w:tabs>
        <w:suppressAutoHyphens/>
        <w:spacing w:line="260" w:lineRule="exact"/>
        <w:ind w:hanging="720"/>
        <w:rPr>
          <w:rFonts w:ascii="Arial" w:hAnsi="Arial" w:cs="Arial"/>
          <w:szCs w:val="22"/>
        </w:rPr>
      </w:pPr>
      <w:r w:rsidRPr="003B5B7D">
        <w:rPr>
          <w:rFonts w:ascii="Arial" w:hAnsi="Arial" w:cs="Arial"/>
          <w:szCs w:val="22"/>
        </w:rPr>
        <w:t>odpadne velike gospodinjske naprave</w:t>
      </w:r>
    </w:p>
    <w:p w:rsidR="00720A6B" w:rsidRPr="003B5B7D" w:rsidRDefault="00720A6B" w:rsidP="00720A6B">
      <w:pPr>
        <w:numPr>
          <w:ilvl w:val="0"/>
          <w:numId w:val="1"/>
        </w:numPr>
        <w:tabs>
          <w:tab w:val="left" w:pos="0"/>
        </w:tabs>
        <w:suppressAutoHyphens/>
        <w:ind w:left="0" w:firstLine="0"/>
        <w:jc w:val="both"/>
        <w:rPr>
          <w:rFonts w:cs="Arial"/>
          <w:sz w:val="22"/>
          <w:szCs w:val="22"/>
        </w:rPr>
      </w:pPr>
      <w:r w:rsidRPr="003B5B7D">
        <w:rPr>
          <w:rFonts w:cs="Arial"/>
          <w:sz w:val="22"/>
          <w:szCs w:val="22"/>
        </w:rPr>
        <w:t>odpadne naprave za hlajenje in zamrzovanje</w:t>
      </w:r>
    </w:p>
    <w:p w:rsidR="00720A6B" w:rsidRPr="003B5B7D" w:rsidRDefault="00720A6B" w:rsidP="00720A6B">
      <w:pPr>
        <w:numPr>
          <w:ilvl w:val="0"/>
          <w:numId w:val="1"/>
        </w:numPr>
        <w:tabs>
          <w:tab w:val="left" w:pos="0"/>
        </w:tabs>
        <w:suppressAutoHyphens/>
        <w:ind w:left="0" w:firstLine="0"/>
        <w:jc w:val="both"/>
        <w:rPr>
          <w:rFonts w:cs="Arial"/>
          <w:sz w:val="22"/>
          <w:szCs w:val="22"/>
        </w:rPr>
      </w:pPr>
      <w:r w:rsidRPr="003B5B7D">
        <w:rPr>
          <w:rFonts w:cs="Arial"/>
          <w:sz w:val="22"/>
          <w:szCs w:val="22"/>
        </w:rPr>
        <w:t>odpadni TV sprejemniki, monitorji in slikovne cevi</w:t>
      </w:r>
    </w:p>
    <w:p w:rsidR="00720A6B" w:rsidRPr="003B5B7D" w:rsidRDefault="00720A6B" w:rsidP="00720A6B">
      <w:pPr>
        <w:numPr>
          <w:ilvl w:val="0"/>
          <w:numId w:val="1"/>
        </w:numPr>
        <w:tabs>
          <w:tab w:val="left" w:pos="0"/>
        </w:tabs>
        <w:suppressAutoHyphens/>
        <w:ind w:left="0" w:firstLine="0"/>
        <w:jc w:val="both"/>
        <w:rPr>
          <w:rFonts w:cs="Arial"/>
          <w:sz w:val="22"/>
          <w:szCs w:val="22"/>
        </w:rPr>
      </w:pPr>
      <w:r w:rsidRPr="003B5B7D">
        <w:rPr>
          <w:rFonts w:cs="Arial"/>
          <w:sz w:val="22"/>
          <w:szCs w:val="22"/>
        </w:rPr>
        <w:t>odpadna mala električna in elektronska oprema</w:t>
      </w:r>
    </w:p>
    <w:p w:rsidR="00720A6B" w:rsidRPr="003B5B7D" w:rsidRDefault="00720A6B" w:rsidP="00720A6B">
      <w:pPr>
        <w:numPr>
          <w:ilvl w:val="0"/>
          <w:numId w:val="1"/>
        </w:numPr>
        <w:tabs>
          <w:tab w:val="left" w:pos="0"/>
        </w:tabs>
        <w:suppressAutoHyphens/>
        <w:ind w:left="0" w:firstLine="0"/>
        <w:jc w:val="both"/>
        <w:rPr>
          <w:rFonts w:cs="Arial"/>
          <w:sz w:val="22"/>
          <w:szCs w:val="22"/>
        </w:rPr>
      </w:pPr>
      <w:r w:rsidRPr="003B5B7D">
        <w:rPr>
          <w:rFonts w:cs="Arial"/>
          <w:sz w:val="22"/>
          <w:szCs w:val="22"/>
        </w:rPr>
        <w:t>odpadne sijalke</w:t>
      </w:r>
    </w:p>
    <w:p w:rsidR="00720A6B" w:rsidRPr="003B5B7D" w:rsidRDefault="00720A6B" w:rsidP="00720A6B">
      <w:pPr>
        <w:tabs>
          <w:tab w:val="left" w:pos="0"/>
        </w:tabs>
        <w:rPr>
          <w:rFonts w:cs="Arial"/>
          <w:b/>
          <w:sz w:val="22"/>
          <w:szCs w:val="22"/>
        </w:rPr>
      </w:pPr>
    </w:p>
    <w:p w:rsidR="00720A6B" w:rsidRPr="003B5B7D" w:rsidRDefault="00720A6B" w:rsidP="00720A6B">
      <w:pPr>
        <w:pStyle w:val="Odstavekseznama"/>
        <w:numPr>
          <w:ilvl w:val="0"/>
          <w:numId w:val="2"/>
        </w:numPr>
        <w:tabs>
          <w:tab w:val="left" w:pos="0"/>
        </w:tabs>
        <w:spacing w:line="260" w:lineRule="exact"/>
        <w:ind w:left="567" w:hanging="567"/>
        <w:rPr>
          <w:rFonts w:ascii="Arial" w:hAnsi="Arial" w:cs="Arial"/>
          <w:b/>
          <w:bCs/>
          <w:szCs w:val="22"/>
        </w:rPr>
      </w:pPr>
      <w:r w:rsidRPr="003B5B7D">
        <w:rPr>
          <w:rFonts w:ascii="Arial" w:hAnsi="Arial" w:cs="Arial"/>
          <w:b/>
          <w:bCs/>
          <w:szCs w:val="22"/>
        </w:rPr>
        <w:t>Povezava med zbirno-predelovalnimi skupinami OEEO, številkami odpadkov iz seznama odpadkov iz predpisa, ki ureja odpadke, in razredi EEO, v obdobju do 31. decembra 2017:</w:t>
      </w:r>
    </w:p>
    <w:p w:rsidR="00720A6B" w:rsidRPr="003B5B7D" w:rsidRDefault="00720A6B" w:rsidP="00720A6B">
      <w:pPr>
        <w:tabs>
          <w:tab w:val="left" w:pos="0"/>
        </w:tabs>
        <w:rPr>
          <w:rFonts w:cs="Arial"/>
          <w:bC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
        <w:gridCol w:w="440"/>
        <w:gridCol w:w="94"/>
        <w:gridCol w:w="1225"/>
        <w:gridCol w:w="1500"/>
        <w:gridCol w:w="567"/>
        <w:gridCol w:w="2550"/>
        <w:gridCol w:w="2832"/>
      </w:tblGrid>
      <w:tr w:rsidR="00720A6B" w:rsidRPr="003B5B7D" w:rsidTr="0026207F">
        <w:trPr>
          <w:gridBefore w:val="1"/>
          <w:wBefore w:w="108" w:type="dxa"/>
          <w:trHeight w:val="663"/>
          <w:tblHeader/>
        </w:trPr>
        <w:tc>
          <w:tcPr>
            <w:tcW w:w="3261" w:type="dxa"/>
            <w:gridSpan w:val="4"/>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
                <w:bCs/>
                <w:sz w:val="22"/>
                <w:szCs w:val="22"/>
                <w:lang w:eastAsia="ar-SA"/>
              </w:rPr>
            </w:pPr>
          </w:p>
          <w:p w:rsidR="00720A6B" w:rsidRPr="003B5B7D" w:rsidRDefault="00720A6B" w:rsidP="005D3680">
            <w:pPr>
              <w:tabs>
                <w:tab w:val="left" w:pos="0"/>
              </w:tabs>
              <w:autoSpaceDE w:val="0"/>
              <w:autoSpaceDN w:val="0"/>
              <w:adjustRightInd w:val="0"/>
              <w:rPr>
                <w:rFonts w:cs="Arial"/>
                <w:b/>
                <w:bCs/>
                <w:sz w:val="22"/>
                <w:szCs w:val="22"/>
                <w:lang w:eastAsia="ar-SA"/>
              </w:rPr>
            </w:pPr>
            <w:r w:rsidRPr="003B5B7D">
              <w:rPr>
                <w:rFonts w:cs="Arial"/>
                <w:b/>
                <w:bCs/>
                <w:sz w:val="22"/>
                <w:szCs w:val="22"/>
              </w:rPr>
              <w:t>Zbirno-predelovalna skupina OEEO</w:t>
            </w:r>
          </w:p>
          <w:p w:rsidR="00720A6B" w:rsidRPr="003B5B7D" w:rsidRDefault="00720A6B" w:rsidP="005D3680">
            <w:pPr>
              <w:tabs>
                <w:tab w:val="left" w:pos="0"/>
              </w:tabs>
              <w:suppressAutoHyphens/>
              <w:autoSpaceDE w:val="0"/>
              <w:autoSpaceDN w:val="0"/>
              <w:adjustRightInd w:val="0"/>
              <w:rPr>
                <w:rFonts w:cs="Arial"/>
                <w:b/>
                <w:bCs/>
                <w:sz w:val="22"/>
                <w:szCs w:val="22"/>
                <w:lang w:eastAsia="ar-SA"/>
              </w:rPr>
            </w:pPr>
            <w:r w:rsidRPr="003B5B7D">
              <w:rPr>
                <w:rFonts w:cs="Arial"/>
                <w:b/>
                <w:bCs/>
                <w:sz w:val="22"/>
                <w:szCs w:val="22"/>
              </w:rPr>
              <w:t>Številka odpadka iz seznama odpadkov</w:t>
            </w:r>
          </w:p>
        </w:tc>
        <w:tc>
          <w:tcPr>
            <w:tcW w:w="5953" w:type="dxa"/>
            <w:gridSpan w:val="3"/>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
                <w:sz w:val="22"/>
                <w:szCs w:val="22"/>
                <w:lang w:eastAsia="ar-SA"/>
              </w:rPr>
            </w:pPr>
          </w:p>
          <w:p w:rsidR="00720A6B" w:rsidRPr="003B5B7D" w:rsidRDefault="00720A6B" w:rsidP="005D3680">
            <w:pPr>
              <w:tabs>
                <w:tab w:val="left" w:pos="0"/>
              </w:tabs>
              <w:suppressAutoHyphens/>
              <w:autoSpaceDE w:val="0"/>
              <w:autoSpaceDN w:val="0"/>
              <w:adjustRightInd w:val="0"/>
              <w:rPr>
                <w:rFonts w:cs="Arial"/>
                <w:b/>
                <w:sz w:val="22"/>
                <w:szCs w:val="22"/>
                <w:lang w:eastAsia="ar-SA"/>
              </w:rPr>
            </w:pPr>
            <w:r w:rsidRPr="003B5B7D">
              <w:rPr>
                <w:rFonts w:cs="Arial"/>
                <w:b/>
                <w:sz w:val="22"/>
                <w:szCs w:val="22"/>
              </w:rPr>
              <w:t>Razred električne in elektronske opreme</w:t>
            </w:r>
          </w:p>
        </w:tc>
      </w:tr>
      <w:tr w:rsidR="00720A6B" w:rsidRPr="003B5B7D" w:rsidTr="0026207F">
        <w:trPr>
          <w:gridBefore w:val="1"/>
          <w:wBefore w:w="108" w:type="dxa"/>
          <w:trHeight w:val="229"/>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1</w:t>
            </w:r>
          </w:p>
          <w:p w:rsidR="00720A6B" w:rsidRPr="003B5B7D" w:rsidRDefault="00720A6B" w:rsidP="005D3680">
            <w:pPr>
              <w:tabs>
                <w:tab w:val="left" w:pos="0"/>
              </w:tabs>
              <w:suppressAutoHyphens/>
              <w:rPr>
                <w:rFonts w:cs="Arial"/>
                <w:bCs/>
                <w:sz w:val="22"/>
                <w:szCs w:val="22"/>
                <w:lang w:eastAsia="ar-SA"/>
              </w:rPr>
            </w:pPr>
          </w:p>
        </w:tc>
        <w:tc>
          <w:tcPr>
            <w:tcW w:w="2727"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val="pl-PL" w:eastAsia="ar-SA"/>
              </w:rPr>
            </w:pPr>
          </w:p>
          <w:p w:rsidR="00720A6B" w:rsidRPr="003B5B7D" w:rsidRDefault="00720A6B" w:rsidP="005D3680">
            <w:pPr>
              <w:tabs>
                <w:tab w:val="left" w:pos="0"/>
              </w:tabs>
              <w:autoSpaceDE w:val="0"/>
              <w:autoSpaceDN w:val="0"/>
              <w:adjustRightInd w:val="0"/>
              <w:rPr>
                <w:rFonts w:cs="Arial"/>
                <w:b/>
                <w:bCs/>
                <w:sz w:val="22"/>
                <w:szCs w:val="22"/>
                <w:lang w:val="pl-PL"/>
              </w:rPr>
            </w:pPr>
            <w:r w:rsidRPr="003B5B7D">
              <w:rPr>
                <w:rFonts w:cs="Arial"/>
                <w:b/>
                <w:bCs/>
                <w:sz w:val="22"/>
                <w:szCs w:val="22"/>
                <w:lang w:val="pl-PL"/>
              </w:rPr>
              <w:t>Odpadne velike gospodinjske naprave</w:t>
            </w:r>
          </w:p>
          <w:p w:rsidR="00720A6B" w:rsidRPr="003B5B7D" w:rsidRDefault="00720A6B" w:rsidP="005D3680">
            <w:pPr>
              <w:tabs>
                <w:tab w:val="left" w:pos="0"/>
              </w:tabs>
              <w:autoSpaceDE w:val="0"/>
              <w:autoSpaceDN w:val="0"/>
              <w:adjustRightInd w:val="0"/>
              <w:rPr>
                <w:rFonts w:cs="Arial"/>
                <w:bCs/>
                <w:sz w:val="22"/>
                <w:szCs w:val="22"/>
                <w:lang w:val="pl-PL"/>
              </w:rPr>
            </w:pPr>
          </w:p>
          <w:p w:rsidR="00720A6B" w:rsidRPr="003B5B7D" w:rsidRDefault="00720A6B" w:rsidP="005D3680">
            <w:pPr>
              <w:tabs>
                <w:tab w:val="left" w:pos="0"/>
              </w:tabs>
              <w:rPr>
                <w:rFonts w:cs="Arial"/>
                <w:sz w:val="22"/>
                <w:szCs w:val="22"/>
                <w:lang w:val="pl-PL"/>
              </w:rPr>
            </w:pPr>
            <w:r w:rsidRPr="003B5B7D">
              <w:rPr>
                <w:rFonts w:cs="Arial"/>
                <w:sz w:val="22"/>
                <w:szCs w:val="22"/>
                <w:lang w:val="pl-PL"/>
              </w:rPr>
              <w:t>20 01 36, 20 01 35*</w:t>
            </w:r>
          </w:p>
          <w:p w:rsidR="00720A6B" w:rsidRPr="003B5B7D" w:rsidRDefault="00720A6B" w:rsidP="005D3680">
            <w:pPr>
              <w:tabs>
                <w:tab w:val="left" w:pos="0"/>
              </w:tabs>
              <w:suppressAutoHyphens/>
              <w:rPr>
                <w:rFonts w:cs="Arial"/>
                <w:sz w:val="22"/>
                <w:szCs w:val="22"/>
                <w:lang w:val="pl-PL"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r w:rsidRPr="003B5B7D">
              <w:rPr>
                <w:rFonts w:cs="Arial"/>
                <w:bCs/>
                <w:sz w:val="22"/>
                <w:szCs w:val="22"/>
              </w:rPr>
              <w:t>1</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t xml:space="preserve">Velike gospodinjske naprave </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r>
      <w:tr w:rsidR="00720A6B" w:rsidRPr="003B5B7D" w:rsidTr="0026207F">
        <w:trPr>
          <w:gridBefore w:val="1"/>
          <w:wBefore w:w="108" w:type="dxa"/>
          <w:trHeight w:val="335"/>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sz w:val="22"/>
                <w:szCs w:val="22"/>
                <w:lang w:val="pl-PL"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r w:rsidRPr="003B5B7D">
              <w:rPr>
                <w:rFonts w:cs="Arial"/>
                <w:bCs/>
                <w:sz w:val="22"/>
                <w:szCs w:val="22"/>
              </w:rPr>
              <w:t>5</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sz w:val="22"/>
                <w:szCs w:val="22"/>
                <w:lang w:val="pl-PL"/>
              </w:rPr>
              <w:t>Oprema za razsvetljavo</w:t>
            </w:r>
          </w:p>
        </w:tc>
      </w:tr>
      <w:tr w:rsidR="00720A6B" w:rsidRPr="003B5B7D" w:rsidTr="0026207F">
        <w:trPr>
          <w:gridBefore w:val="1"/>
          <w:wBefore w:w="108" w:type="dxa"/>
          <w:trHeight w:val="555"/>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sz w:val="22"/>
                <w:szCs w:val="22"/>
                <w:lang w:val="pl-PL"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r w:rsidRPr="003B5B7D">
              <w:rPr>
                <w:rFonts w:cs="Arial"/>
                <w:bCs/>
                <w:sz w:val="22"/>
                <w:szCs w:val="22"/>
              </w:rPr>
              <w:t>10</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rPr>
                <w:rFonts w:cs="Arial"/>
                <w:sz w:val="22"/>
                <w:szCs w:val="22"/>
                <w:lang w:eastAsia="ar-SA"/>
              </w:rPr>
            </w:pPr>
            <w:r w:rsidRPr="003B5B7D">
              <w:rPr>
                <w:rFonts w:cs="Arial"/>
                <w:sz w:val="22"/>
                <w:szCs w:val="22"/>
              </w:rPr>
              <w:t>Avtomati</w:t>
            </w:r>
          </w:p>
          <w:p w:rsidR="00720A6B" w:rsidRPr="003B5B7D" w:rsidRDefault="00720A6B" w:rsidP="005D3680">
            <w:pPr>
              <w:tabs>
                <w:tab w:val="left" w:pos="0"/>
              </w:tabs>
              <w:suppressAutoHyphens/>
              <w:rPr>
                <w:rFonts w:cs="Arial"/>
                <w:bCs/>
                <w:sz w:val="22"/>
                <w:szCs w:val="22"/>
                <w:lang w:eastAsia="ar-SA"/>
              </w:rPr>
            </w:pPr>
            <w:r w:rsidRPr="003B5B7D">
              <w:rPr>
                <w:rFonts w:cs="Arial"/>
                <w:sz w:val="22"/>
                <w:szCs w:val="22"/>
              </w:rPr>
              <w:t>(ki ne vsebujejo ozonu škodljivih snovi)</w:t>
            </w:r>
          </w:p>
        </w:tc>
      </w:tr>
      <w:tr w:rsidR="00720A6B" w:rsidRPr="003B5B7D" w:rsidTr="0026207F">
        <w:trPr>
          <w:gridBefore w:val="1"/>
          <w:wBefore w:w="108"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lastRenderedPageBreak/>
              <w:t>2</w:t>
            </w:r>
          </w:p>
          <w:p w:rsidR="00720A6B" w:rsidRPr="003B5B7D" w:rsidRDefault="00720A6B" w:rsidP="005D3680">
            <w:pPr>
              <w:tabs>
                <w:tab w:val="left" w:pos="0"/>
              </w:tabs>
              <w:suppressAutoHyphens/>
              <w:rPr>
                <w:rFonts w:cs="Arial"/>
                <w:bCs/>
                <w:sz w:val="22"/>
                <w:szCs w:val="22"/>
                <w:lang w:eastAsia="ar-SA"/>
              </w:rPr>
            </w:pPr>
          </w:p>
        </w:tc>
        <w:tc>
          <w:tcPr>
            <w:tcW w:w="2727"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
                <w:bCs/>
                <w:sz w:val="22"/>
                <w:szCs w:val="22"/>
              </w:rPr>
            </w:pPr>
            <w:r w:rsidRPr="003B5B7D">
              <w:rPr>
                <w:rFonts w:cs="Arial"/>
                <w:b/>
                <w:bCs/>
                <w:sz w:val="22"/>
                <w:szCs w:val="22"/>
              </w:rPr>
              <w:t xml:space="preserve">Odpadne naprave za </w:t>
            </w:r>
            <w:r w:rsidRPr="003B5B7D">
              <w:rPr>
                <w:rFonts w:cs="Arial"/>
                <w:b/>
                <w:bCs/>
                <w:sz w:val="22"/>
                <w:szCs w:val="22"/>
              </w:rPr>
              <w:lastRenderedPageBreak/>
              <w:t>hlajenje in zamrzovanje</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r w:rsidRPr="003B5B7D">
              <w:rPr>
                <w:rFonts w:cs="Arial"/>
                <w:bCs/>
                <w:sz w:val="22"/>
                <w:szCs w:val="22"/>
                <w:lang w:val="pl-PL"/>
              </w:rPr>
              <w:t>20 01 23*</w:t>
            </w: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lastRenderedPageBreak/>
              <w:t>1a</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t>Naprave za hlajenje in zamrzovanje</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r>
      <w:tr w:rsidR="00720A6B" w:rsidRPr="003B5B7D" w:rsidTr="0026207F">
        <w:trPr>
          <w:gridBefore w:val="1"/>
          <w:wBefore w:w="108" w:type="dxa"/>
          <w:trHeight w:val="403"/>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t>10</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t xml:space="preserve">Avtomati </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r w:rsidRPr="003B5B7D">
              <w:rPr>
                <w:rFonts w:cs="Arial"/>
                <w:bCs/>
                <w:sz w:val="22"/>
                <w:szCs w:val="22"/>
              </w:rPr>
              <w:t>(ki vsebujejo ozonu škodljive snovi)</w:t>
            </w:r>
          </w:p>
        </w:tc>
      </w:tr>
      <w:tr w:rsidR="00720A6B" w:rsidRPr="003B5B7D" w:rsidTr="0026207F">
        <w:trPr>
          <w:gridBefore w:val="1"/>
          <w:wBefore w:w="108"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3</w:t>
            </w:r>
          </w:p>
          <w:p w:rsidR="00720A6B" w:rsidRPr="003B5B7D" w:rsidRDefault="00720A6B" w:rsidP="005D3680">
            <w:pPr>
              <w:tabs>
                <w:tab w:val="left" w:pos="0"/>
              </w:tabs>
              <w:suppressAutoHyphens/>
              <w:rPr>
                <w:rFonts w:cs="Arial"/>
                <w:bCs/>
                <w:sz w:val="22"/>
                <w:szCs w:val="22"/>
                <w:lang w:eastAsia="ar-SA"/>
              </w:rPr>
            </w:pPr>
          </w:p>
        </w:tc>
        <w:tc>
          <w:tcPr>
            <w:tcW w:w="2727"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val="it-IT" w:eastAsia="ar-SA"/>
              </w:rPr>
            </w:pPr>
          </w:p>
          <w:p w:rsidR="00720A6B" w:rsidRPr="003B5B7D" w:rsidRDefault="00720A6B" w:rsidP="005D3680">
            <w:pPr>
              <w:tabs>
                <w:tab w:val="left" w:pos="0"/>
              </w:tabs>
              <w:autoSpaceDE w:val="0"/>
              <w:autoSpaceDN w:val="0"/>
              <w:adjustRightInd w:val="0"/>
              <w:rPr>
                <w:rFonts w:cs="Arial"/>
                <w:b/>
                <w:bCs/>
                <w:sz w:val="22"/>
                <w:szCs w:val="22"/>
              </w:rPr>
            </w:pPr>
            <w:proofErr w:type="spellStart"/>
            <w:r w:rsidRPr="003B5B7D">
              <w:rPr>
                <w:rFonts w:cs="Arial"/>
                <w:b/>
                <w:sz w:val="22"/>
                <w:szCs w:val="22"/>
                <w:lang w:val="it-IT"/>
              </w:rPr>
              <w:t>Odpadni</w:t>
            </w:r>
            <w:proofErr w:type="spellEnd"/>
            <w:r w:rsidRPr="003B5B7D">
              <w:rPr>
                <w:rFonts w:cs="Arial"/>
                <w:b/>
                <w:sz w:val="22"/>
                <w:szCs w:val="22"/>
                <w:lang w:val="it-IT"/>
              </w:rPr>
              <w:t xml:space="preserve"> TV </w:t>
            </w:r>
            <w:proofErr w:type="spellStart"/>
            <w:r w:rsidRPr="003B5B7D">
              <w:rPr>
                <w:rFonts w:cs="Arial"/>
                <w:b/>
                <w:sz w:val="22"/>
                <w:szCs w:val="22"/>
                <w:lang w:val="it-IT"/>
              </w:rPr>
              <w:t>sprejemniki</w:t>
            </w:r>
            <w:proofErr w:type="spellEnd"/>
            <w:r w:rsidRPr="003B5B7D">
              <w:rPr>
                <w:rFonts w:cs="Arial"/>
                <w:b/>
                <w:sz w:val="22"/>
                <w:szCs w:val="22"/>
                <w:lang w:val="it-IT"/>
              </w:rPr>
              <w:t xml:space="preserve">, </w:t>
            </w:r>
            <w:proofErr w:type="spellStart"/>
            <w:r w:rsidRPr="003B5B7D">
              <w:rPr>
                <w:rFonts w:cs="Arial"/>
                <w:b/>
                <w:sz w:val="22"/>
                <w:szCs w:val="22"/>
                <w:lang w:val="it-IT"/>
              </w:rPr>
              <w:t>zasloni</w:t>
            </w:r>
            <w:proofErr w:type="spellEnd"/>
            <w:r w:rsidRPr="003B5B7D">
              <w:rPr>
                <w:rFonts w:cs="Arial"/>
                <w:b/>
                <w:sz w:val="22"/>
                <w:szCs w:val="22"/>
                <w:lang w:val="it-IT"/>
              </w:rPr>
              <w:t xml:space="preserve"> in </w:t>
            </w:r>
            <w:proofErr w:type="spellStart"/>
            <w:r w:rsidRPr="003B5B7D">
              <w:rPr>
                <w:rFonts w:cs="Arial"/>
                <w:b/>
                <w:sz w:val="22"/>
                <w:szCs w:val="22"/>
                <w:lang w:val="it-IT"/>
              </w:rPr>
              <w:t>slikovne</w:t>
            </w:r>
            <w:proofErr w:type="spellEnd"/>
            <w:r w:rsidRPr="003B5B7D">
              <w:rPr>
                <w:rFonts w:cs="Arial"/>
                <w:b/>
                <w:sz w:val="22"/>
                <w:szCs w:val="22"/>
                <w:lang w:val="it-IT"/>
              </w:rPr>
              <w:t xml:space="preserve"> </w:t>
            </w:r>
            <w:proofErr w:type="spellStart"/>
            <w:proofErr w:type="gramStart"/>
            <w:r w:rsidRPr="003B5B7D">
              <w:rPr>
                <w:rFonts w:cs="Arial"/>
                <w:b/>
                <w:sz w:val="22"/>
                <w:szCs w:val="22"/>
                <w:lang w:val="it-IT"/>
              </w:rPr>
              <w:t>cevi</w:t>
            </w:r>
            <w:proofErr w:type="spellEnd"/>
            <w:proofErr w:type="gramEnd"/>
          </w:p>
          <w:p w:rsidR="00720A6B" w:rsidRPr="003B5B7D" w:rsidRDefault="00720A6B" w:rsidP="005D3680">
            <w:pPr>
              <w:tabs>
                <w:tab w:val="left" w:pos="0"/>
              </w:tabs>
              <w:suppressAutoHyphens/>
              <w:autoSpaceDE w:val="0"/>
              <w:autoSpaceDN w:val="0"/>
              <w:adjustRightInd w:val="0"/>
              <w:rPr>
                <w:rFonts w:cs="Arial"/>
                <w:bCs/>
                <w:sz w:val="22"/>
                <w:szCs w:val="22"/>
                <w:lang w:eastAsia="ar-SA"/>
              </w:rPr>
            </w:pPr>
            <w:r w:rsidRPr="003B5B7D">
              <w:rPr>
                <w:rFonts w:cs="Arial"/>
                <w:sz w:val="22"/>
                <w:szCs w:val="22"/>
                <w:lang w:val="pl-PL"/>
              </w:rPr>
              <w:t>20 01 35*</w:t>
            </w: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roofErr w:type="spellStart"/>
            <w:r w:rsidRPr="003B5B7D">
              <w:rPr>
                <w:rFonts w:cs="Arial"/>
                <w:sz w:val="22"/>
                <w:szCs w:val="22"/>
              </w:rPr>
              <w:t>3.a</w:t>
            </w:r>
            <w:proofErr w:type="spellEnd"/>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val="pl-PL" w:eastAsia="ar-SA"/>
              </w:rPr>
            </w:pPr>
            <w:r w:rsidRPr="003B5B7D">
              <w:rPr>
                <w:rFonts w:cs="Arial"/>
                <w:sz w:val="22"/>
                <w:szCs w:val="22"/>
                <w:lang w:val="pl-PL"/>
              </w:rPr>
              <w:t>Zasloni osebnih in prenosnih računalnikov ter drugi zasloni</w:t>
            </w:r>
          </w:p>
          <w:p w:rsidR="00720A6B" w:rsidRPr="003B5B7D" w:rsidRDefault="00720A6B" w:rsidP="005D3680">
            <w:pPr>
              <w:tabs>
                <w:tab w:val="left" w:pos="0"/>
              </w:tabs>
              <w:suppressAutoHyphens/>
              <w:autoSpaceDE w:val="0"/>
              <w:autoSpaceDN w:val="0"/>
              <w:adjustRightInd w:val="0"/>
              <w:rPr>
                <w:rFonts w:cs="Arial"/>
                <w:sz w:val="22"/>
                <w:szCs w:val="22"/>
                <w:lang w:val="pl-PL" w:eastAsia="ar-SA"/>
              </w:rPr>
            </w:pP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roofErr w:type="spellStart"/>
            <w:r w:rsidRPr="003B5B7D">
              <w:rPr>
                <w:rFonts w:cs="Arial"/>
                <w:sz w:val="22"/>
                <w:szCs w:val="22"/>
              </w:rPr>
              <w:t>4.a</w:t>
            </w:r>
            <w:proofErr w:type="spellEnd"/>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eastAsia="ar-SA"/>
              </w:rPr>
            </w:pPr>
            <w:r w:rsidRPr="003B5B7D">
              <w:rPr>
                <w:rFonts w:cs="Arial"/>
                <w:sz w:val="22"/>
                <w:szCs w:val="22"/>
              </w:rPr>
              <w:t>Televizijski sprejemniki</w:t>
            </w:r>
          </w:p>
        </w:tc>
      </w:tr>
      <w:tr w:rsidR="00720A6B" w:rsidRPr="003B5B7D" w:rsidTr="0026207F">
        <w:trPr>
          <w:gridBefore w:val="1"/>
          <w:wBefore w:w="108"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4</w:t>
            </w:r>
          </w:p>
          <w:p w:rsidR="00720A6B" w:rsidRPr="003B5B7D" w:rsidRDefault="00720A6B" w:rsidP="005D3680">
            <w:pPr>
              <w:tabs>
                <w:tab w:val="left" w:pos="0"/>
              </w:tabs>
              <w:suppressAutoHyphens/>
              <w:rPr>
                <w:rFonts w:cs="Arial"/>
                <w:bCs/>
                <w:sz w:val="22"/>
                <w:szCs w:val="22"/>
                <w:lang w:eastAsia="ar-SA"/>
              </w:rPr>
            </w:pPr>
          </w:p>
        </w:tc>
        <w:tc>
          <w:tcPr>
            <w:tcW w:w="2727"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b/>
                <w:sz w:val="22"/>
                <w:szCs w:val="22"/>
              </w:rPr>
            </w:pPr>
            <w:r w:rsidRPr="003B5B7D">
              <w:rPr>
                <w:rFonts w:cs="Arial"/>
                <w:b/>
                <w:sz w:val="22"/>
                <w:szCs w:val="22"/>
              </w:rPr>
              <w:t>Odpadna mala EEO</w:t>
            </w: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autoSpaceDE w:val="0"/>
              <w:autoSpaceDN w:val="0"/>
              <w:adjustRightInd w:val="0"/>
              <w:rPr>
                <w:rFonts w:cs="Arial"/>
                <w:sz w:val="22"/>
                <w:szCs w:val="22"/>
                <w:lang w:val="pl-PL"/>
              </w:rPr>
            </w:pPr>
            <w:r w:rsidRPr="003B5B7D">
              <w:rPr>
                <w:rFonts w:cs="Arial"/>
                <w:sz w:val="22"/>
                <w:szCs w:val="22"/>
                <w:lang w:val="pl-PL"/>
              </w:rPr>
              <w:t>20 01 36, 20 01 35*</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2</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autoSpaceDE w:val="0"/>
              <w:autoSpaceDN w:val="0"/>
              <w:adjustRightInd w:val="0"/>
              <w:rPr>
                <w:rFonts w:cs="Arial"/>
                <w:sz w:val="22"/>
                <w:szCs w:val="22"/>
                <w:lang w:eastAsia="ar-SA"/>
              </w:rPr>
            </w:pPr>
            <w:r w:rsidRPr="003B5B7D">
              <w:rPr>
                <w:rFonts w:cs="Arial"/>
                <w:sz w:val="22"/>
                <w:szCs w:val="22"/>
              </w:rPr>
              <w:t>Male gospodinjske</w:t>
            </w:r>
          </w:p>
          <w:p w:rsidR="00720A6B" w:rsidRPr="003B5B7D" w:rsidRDefault="00720A6B" w:rsidP="005D3680">
            <w:pPr>
              <w:tabs>
                <w:tab w:val="left" w:pos="0"/>
              </w:tabs>
              <w:suppressAutoHyphens/>
              <w:rPr>
                <w:rFonts w:cs="Arial"/>
                <w:bCs/>
                <w:sz w:val="22"/>
                <w:szCs w:val="22"/>
                <w:lang w:eastAsia="ar-SA"/>
              </w:rPr>
            </w:pPr>
            <w:r w:rsidRPr="003B5B7D">
              <w:rPr>
                <w:rFonts w:cs="Arial"/>
                <w:sz w:val="22"/>
                <w:szCs w:val="22"/>
              </w:rPr>
              <w:t>naprave</w:t>
            </w: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3</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val="pl-PL" w:eastAsia="ar-SA"/>
              </w:rPr>
            </w:pPr>
            <w:r w:rsidRPr="003B5B7D">
              <w:rPr>
                <w:rFonts w:cs="Arial"/>
                <w:sz w:val="22"/>
                <w:szCs w:val="22"/>
                <w:lang w:val="pl-PL"/>
              </w:rPr>
              <w:t>Oprema za IT in telekomunikacije</w:t>
            </w:r>
          </w:p>
          <w:p w:rsidR="00720A6B" w:rsidRPr="003B5B7D" w:rsidRDefault="00720A6B" w:rsidP="005D3680">
            <w:pPr>
              <w:tabs>
                <w:tab w:val="left" w:pos="0"/>
              </w:tabs>
              <w:suppressAutoHyphens/>
              <w:autoSpaceDE w:val="0"/>
              <w:autoSpaceDN w:val="0"/>
              <w:adjustRightInd w:val="0"/>
              <w:rPr>
                <w:rFonts w:cs="Arial"/>
                <w:sz w:val="22"/>
                <w:szCs w:val="22"/>
                <w:lang w:val="pl-PL" w:eastAsia="ar-SA"/>
              </w:rPr>
            </w:pP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4</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eastAsia="ar-SA"/>
              </w:rPr>
            </w:pPr>
            <w:r w:rsidRPr="003B5B7D">
              <w:rPr>
                <w:rFonts w:cs="Arial"/>
                <w:sz w:val="22"/>
                <w:szCs w:val="22"/>
              </w:rPr>
              <w:t>Oprema za zabavno elektroniko</w:t>
            </w:r>
          </w:p>
          <w:p w:rsidR="00720A6B" w:rsidRPr="003B5B7D" w:rsidRDefault="00720A6B" w:rsidP="005D3680">
            <w:pPr>
              <w:tabs>
                <w:tab w:val="left" w:pos="0"/>
              </w:tabs>
              <w:suppressAutoHyphens/>
              <w:autoSpaceDE w:val="0"/>
              <w:autoSpaceDN w:val="0"/>
              <w:adjustRightInd w:val="0"/>
              <w:rPr>
                <w:rFonts w:cs="Arial"/>
                <w:sz w:val="22"/>
                <w:szCs w:val="22"/>
                <w:lang w:eastAsia="ar-SA"/>
              </w:rPr>
            </w:pPr>
          </w:p>
        </w:tc>
      </w:tr>
      <w:tr w:rsidR="00720A6B" w:rsidRPr="003B5B7D" w:rsidTr="0026207F">
        <w:trPr>
          <w:gridBefore w:val="1"/>
          <w:wBefore w:w="108" w:type="dxa"/>
          <w:trHeight w:val="274"/>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5</w:t>
            </w:r>
          </w:p>
          <w:p w:rsidR="00720A6B" w:rsidRPr="003B5B7D" w:rsidRDefault="00720A6B" w:rsidP="005D3680">
            <w:pPr>
              <w:tabs>
                <w:tab w:val="left" w:pos="0"/>
              </w:tabs>
              <w:suppressAutoHyphens/>
              <w:rPr>
                <w:rFonts w:cs="Arial"/>
                <w:bCs/>
                <w:sz w:val="22"/>
                <w:szCs w:val="22"/>
                <w:lang w:eastAsia="ar-SA"/>
              </w:rPr>
            </w:pPr>
            <w:r w:rsidRPr="003B5B7D">
              <w:rPr>
                <w:rFonts w:cs="Arial"/>
                <w:bCs/>
                <w:sz w:val="22"/>
                <w:szCs w:val="22"/>
                <w:lang w:eastAsia="ar-SA"/>
              </w:rPr>
              <w:t>6</w:t>
            </w: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rPr>
            </w:pPr>
            <w:r w:rsidRPr="003B5B7D">
              <w:rPr>
                <w:rFonts w:cs="Arial"/>
                <w:sz w:val="22"/>
                <w:szCs w:val="22"/>
              </w:rPr>
              <w:t>Oprema za razsvetljavo</w:t>
            </w:r>
          </w:p>
          <w:p w:rsidR="00720A6B" w:rsidRPr="003B5B7D" w:rsidRDefault="00720A6B" w:rsidP="005D3680">
            <w:pPr>
              <w:tabs>
                <w:tab w:val="left" w:pos="0"/>
              </w:tabs>
              <w:suppressAutoHyphens/>
              <w:autoSpaceDE w:val="0"/>
              <w:autoSpaceDN w:val="0"/>
              <w:adjustRightInd w:val="0"/>
              <w:rPr>
                <w:rFonts w:cs="Arial"/>
                <w:sz w:val="22"/>
                <w:szCs w:val="22"/>
                <w:lang w:eastAsia="ar-SA"/>
              </w:rPr>
            </w:pPr>
            <w:r w:rsidRPr="003B5B7D">
              <w:rPr>
                <w:rFonts w:cs="Arial"/>
                <w:sz w:val="22"/>
                <w:szCs w:val="22"/>
              </w:rPr>
              <w:t>Električna in elektronska orodja (razen velikih nepremičnih industrijskih orodij)</w:t>
            </w: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7</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val="it-IT" w:eastAsia="ar-SA"/>
              </w:rPr>
            </w:pPr>
            <w:proofErr w:type="spellStart"/>
            <w:r w:rsidRPr="003B5B7D">
              <w:rPr>
                <w:rFonts w:cs="Arial"/>
                <w:sz w:val="22"/>
                <w:szCs w:val="22"/>
                <w:lang w:val="it-IT"/>
              </w:rPr>
              <w:t>Igrače</w:t>
            </w:r>
            <w:proofErr w:type="spellEnd"/>
            <w:r w:rsidRPr="003B5B7D">
              <w:rPr>
                <w:rFonts w:cs="Arial"/>
                <w:sz w:val="22"/>
                <w:szCs w:val="22"/>
                <w:lang w:val="it-IT"/>
              </w:rPr>
              <w:t xml:space="preserve">, </w:t>
            </w:r>
            <w:proofErr w:type="spellStart"/>
            <w:r w:rsidRPr="003B5B7D">
              <w:rPr>
                <w:rFonts w:cs="Arial"/>
                <w:sz w:val="22"/>
                <w:szCs w:val="22"/>
                <w:lang w:val="it-IT"/>
              </w:rPr>
              <w:t>oprema</w:t>
            </w:r>
            <w:proofErr w:type="spellEnd"/>
            <w:r w:rsidRPr="003B5B7D">
              <w:rPr>
                <w:rFonts w:cs="Arial"/>
                <w:sz w:val="22"/>
                <w:szCs w:val="22"/>
                <w:lang w:val="it-IT"/>
              </w:rPr>
              <w:t xml:space="preserve"> za </w:t>
            </w:r>
            <w:proofErr w:type="spellStart"/>
            <w:r w:rsidRPr="003B5B7D">
              <w:rPr>
                <w:rFonts w:cs="Arial"/>
                <w:sz w:val="22"/>
                <w:szCs w:val="22"/>
                <w:lang w:val="it-IT"/>
              </w:rPr>
              <w:t>prosti</w:t>
            </w:r>
            <w:proofErr w:type="spellEnd"/>
            <w:r w:rsidRPr="003B5B7D">
              <w:rPr>
                <w:rFonts w:cs="Arial"/>
                <w:sz w:val="22"/>
                <w:szCs w:val="22"/>
                <w:lang w:val="it-IT"/>
              </w:rPr>
              <w:t xml:space="preserve"> </w:t>
            </w:r>
            <w:proofErr w:type="spellStart"/>
            <w:r w:rsidRPr="003B5B7D">
              <w:rPr>
                <w:rFonts w:cs="Arial"/>
                <w:sz w:val="22"/>
                <w:szCs w:val="22"/>
                <w:lang w:val="it-IT"/>
              </w:rPr>
              <w:t>čas</w:t>
            </w:r>
            <w:proofErr w:type="spellEnd"/>
            <w:r w:rsidRPr="003B5B7D">
              <w:rPr>
                <w:rFonts w:cs="Arial"/>
                <w:sz w:val="22"/>
                <w:szCs w:val="22"/>
                <w:lang w:val="it-IT"/>
              </w:rPr>
              <w:t xml:space="preserve"> in </w:t>
            </w:r>
            <w:r w:rsidRPr="003B5B7D">
              <w:rPr>
                <w:rFonts w:cs="Arial"/>
                <w:sz w:val="22"/>
                <w:szCs w:val="22"/>
              </w:rPr>
              <w:t>šport</w:t>
            </w: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8</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eastAsia="ar-SA"/>
              </w:rPr>
            </w:pPr>
            <w:r w:rsidRPr="003B5B7D">
              <w:rPr>
                <w:rFonts w:cs="Arial"/>
                <w:sz w:val="22"/>
                <w:szCs w:val="22"/>
              </w:rPr>
              <w:t>Medicinska oprema z izjemo opreme, ki se ne uvršča med opremo iz gospodinjstev ali vsebuje nevarne snovi kot npr. oprema za radioterapijo, materiali iz nuklearne medicine</w:t>
            </w:r>
          </w:p>
        </w:tc>
      </w:tr>
      <w:tr w:rsidR="00720A6B" w:rsidRPr="003B5B7D" w:rsidTr="0026207F">
        <w:trPr>
          <w:gridBefore w:val="1"/>
          <w:wBefore w:w="108" w:type="dxa"/>
        </w:trPr>
        <w:tc>
          <w:tcPr>
            <w:tcW w:w="4581"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7347"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sz w:val="22"/>
                <w:szCs w:val="22"/>
              </w:rPr>
            </w:pPr>
            <w:r w:rsidRPr="003B5B7D">
              <w:rPr>
                <w:rFonts w:cs="Arial"/>
                <w:sz w:val="22"/>
                <w:szCs w:val="22"/>
              </w:rPr>
              <w:t>9</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eastAsia="ar-SA"/>
              </w:rPr>
            </w:pPr>
            <w:r w:rsidRPr="003B5B7D">
              <w:rPr>
                <w:rFonts w:cs="Arial"/>
                <w:sz w:val="22"/>
                <w:szCs w:val="22"/>
              </w:rPr>
              <w:t>Instrumenti za spremljanje in nadzor z izjemo opreme, ki se ne uvršča med opremo iz gospodinjstev ali vsebuje nevarne snovi kot npr. detektorji dima</w:t>
            </w:r>
          </w:p>
        </w:tc>
      </w:tr>
      <w:tr w:rsidR="00720A6B" w:rsidRPr="003B5B7D" w:rsidTr="0026207F">
        <w:trPr>
          <w:gridBefore w:val="1"/>
          <w:wBefore w:w="108" w:type="dxa"/>
          <w:trHeight w:val="962"/>
        </w:trPr>
        <w:tc>
          <w:tcPr>
            <w:tcW w:w="534"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5</w:t>
            </w:r>
          </w:p>
          <w:p w:rsidR="00720A6B" w:rsidRPr="003B5B7D" w:rsidRDefault="00720A6B" w:rsidP="005D3680">
            <w:pPr>
              <w:tabs>
                <w:tab w:val="left" w:pos="0"/>
              </w:tabs>
              <w:suppressAutoHyphens/>
              <w:rPr>
                <w:rFonts w:cs="Arial"/>
                <w:bCs/>
                <w:sz w:val="22"/>
                <w:szCs w:val="22"/>
                <w:lang w:eastAsia="ar-SA"/>
              </w:rPr>
            </w:pPr>
          </w:p>
        </w:tc>
        <w:tc>
          <w:tcPr>
            <w:tcW w:w="2727"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b/>
                <w:sz w:val="22"/>
                <w:szCs w:val="22"/>
              </w:rPr>
            </w:pPr>
            <w:r w:rsidRPr="003B5B7D">
              <w:rPr>
                <w:rFonts w:cs="Arial"/>
                <w:b/>
                <w:sz w:val="22"/>
                <w:szCs w:val="22"/>
              </w:rPr>
              <w:t>Odpadne plinske sijalke</w:t>
            </w: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autoSpaceDE w:val="0"/>
              <w:autoSpaceDN w:val="0"/>
              <w:adjustRightInd w:val="0"/>
              <w:rPr>
                <w:rFonts w:cs="Arial"/>
                <w:sz w:val="22"/>
                <w:szCs w:val="22"/>
                <w:lang w:val="it-IT"/>
              </w:rPr>
            </w:pPr>
            <w:r w:rsidRPr="003B5B7D">
              <w:rPr>
                <w:rFonts w:cs="Arial"/>
                <w:sz w:val="22"/>
                <w:szCs w:val="22"/>
                <w:lang w:val="it-IT"/>
              </w:rPr>
              <w:t>20 01 21*</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sz w:val="22"/>
                <w:szCs w:val="22"/>
              </w:rPr>
            </w:pPr>
            <w:r w:rsidRPr="003B5B7D">
              <w:rPr>
                <w:rFonts w:cs="Arial"/>
                <w:sz w:val="22"/>
                <w:szCs w:val="22"/>
              </w:rPr>
              <w:t>5a</w:t>
            </w:r>
          </w:p>
          <w:p w:rsidR="00720A6B" w:rsidRPr="003B5B7D" w:rsidRDefault="00720A6B" w:rsidP="005D3680">
            <w:pPr>
              <w:tabs>
                <w:tab w:val="left" w:pos="0"/>
              </w:tabs>
              <w:suppressAutoHyphens/>
              <w:rPr>
                <w:rFonts w:cs="Arial"/>
                <w:bCs/>
                <w:sz w:val="22"/>
                <w:szCs w:val="22"/>
                <w:lang w:eastAsia="ar-SA"/>
              </w:rPr>
            </w:pPr>
          </w:p>
        </w:tc>
        <w:tc>
          <w:tcPr>
            <w:tcW w:w="5386"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eastAsia="ar-SA"/>
              </w:rPr>
            </w:pPr>
          </w:p>
          <w:p w:rsidR="00720A6B" w:rsidRPr="003B5B7D" w:rsidRDefault="00720A6B" w:rsidP="005D3680">
            <w:pPr>
              <w:tabs>
                <w:tab w:val="left" w:pos="0"/>
              </w:tabs>
              <w:autoSpaceDE w:val="0"/>
              <w:autoSpaceDN w:val="0"/>
              <w:adjustRightInd w:val="0"/>
              <w:rPr>
                <w:rFonts w:cs="Arial"/>
                <w:sz w:val="22"/>
                <w:szCs w:val="22"/>
              </w:rPr>
            </w:pPr>
          </w:p>
          <w:p w:rsidR="00720A6B" w:rsidRPr="003B5B7D" w:rsidRDefault="00720A6B" w:rsidP="005D3680">
            <w:pPr>
              <w:tabs>
                <w:tab w:val="left" w:pos="0"/>
              </w:tabs>
              <w:autoSpaceDE w:val="0"/>
              <w:autoSpaceDN w:val="0"/>
              <w:adjustRightInd w:val="0"/>
              <w:rPr>
                <w:rFonts w:cs="Arial"/>
                <w:sz w:val="22"/>
                <w:szCs w:val="22"/>
              </w:rPr>
            </w:pPr>
            <w:r w:rsidRPr="003B5B7D">
              <w:rPr>
                <w:rFonts w:cs="Arial"/>
                <w:sz w:val="22"/>
                <w:szCs w:val="22"/>
              </w:rPr>
              <w:t>Plinske sijalke</w:t>
            </w:r>
          </w:p>
          <w:p w:rsidR="00720A6B" w:rsidRPr="003B5B7D" w:rsidRDefault="00720A6B" w:rsidP="005D3680">
            <w:pPr>
              <w:tabs>
                <w:tab w:val="left" w:pos="0"/>
              </w:tabs>
              <w:suppressAutoHyphens/>
              <w:autoSpaceDE w:val="0"/>
              <w:autoSpaceDN w:val="0"/>
              <w:adjustRightInd w:val="0"/>
              <w:rPr>
                <w:rFonts w:cs="Arial"/>
                <w:sz w:val="22"/>
                <w:szCs w:val="22"/>
                <w:lang w:eastAsia="ar-SA"/>
              </w:rPr>
            </w:pPr>
          </w:p>
        </w:tc>
      </w:tr>
      <w:tr w:rsidR="00720A6B" w:rsidRPr="003B5B7D" w:rsidTr="005D3680">
        <w:trPr>
          <w:gridAfter w:val="1"/>
          <w:wAfter w:w="2834" w:type="dxa"/>
        </w:trPr>
        <w:tc>
          <w:tcPr>
            <w:tcW w:w="548" w:type="dxa"/>
            <w:gridSpan w:val="2"/>
            <w:tcBorders>
              <w:top w:val="nil"/>
              <w:left w:val="nil"/>
              <w:bottom w:val="nil"/>
              <w:right w:val="nil"/>
            </w:tcBorders>
          </w:tcPr>
          <w:p w:rsidR="00720A6B" w:rsidRPr="003B5B7D" w:rsidRDefault="00720A6B" w:rsidP="005D3680">
            <w:pPr>
              <w:tabs>
                <w:tab w:val="left" w:pos="0"/>
              </w:tabs>
              <w:suppressAutoHyphens/>
              <w:jc w:val="center"/>
              <w:rPr>
                <w:rFonts w:eastAsia="TimesNewRoman" w:cs="Arial"/>
                <w:sz w:val="22"/>
                <w:szCs w:val="22"/>
                <w:shd w:val="clear" w:color="auto" w:fill="FFFFFF"/>
                <w:lang w:eastAsia="ar-SA"/>
              </w:rPr>
            </w:pPr>
          </w:p>
        </w:tc>
        <w:tc>
          <w:tcPr>
            <w:tcW w:w="1320" w:type="dxa"/>
            <w:gridSpan w:val="2"/>
            <w:tcBorders>
              <w:top w:val="nil"/>
              <w:left w:val="nil"/>
              <w:bottom w:val="nil"/>
              <w:right w:val="nil"/>
            </w:tcBorders>
          </w:tcPr>
          <w:p w:rsidR="00720A6B" w:rsidRPr="003B5B7D" w:rsidRDefault="00720A6B" w:rsidP="005D3680">
            <w:pPr>
              <w:tabs>
                <w:tab w:val="left" w:pos="0"/>
              </w:tabs>
              <w:suppressAutoHyphens/>
              <w:jc w:val="center"/>
              <w:rPr>
                <w:rFonts w:eastAsia="TimesNewRoman" w:cs="Arial"/>
                <w:sz w:val="22"/>
                <w:szCs w:val="22"/>
                <w:shd w:val="clear" w:color="auto" w:fill="FFFFFF"/>
                <w:lang w:eastAsia="ar-SA"/>
              </w:rPr>
            </w:pPr>
          </w:p>
        </w:tc>
        <w:tc>
          <w:tcPr>
            <w:tcW w:w="4620" w:type="dxa"/>
            <w:gridSpan w:val="3"/>
            <w:tcBorders>
              <w:top w:val="nil"/>
              <w:left w:val="nil"/>
              <w:bottom w:val="nil"/>
              <w:right w:val="nil"/>
            </w:tcBorders>
          </w:tcPr>
          <w:p w:rsidR="00720A6B" w:rsidRPr="003B5B7D" w:rsidRDefault="00720A6B" w:rsidP="005D3680">
            <w:pPr>
              <w:tabs>
                <w:tab w:val="left" w:pos="0"/>
              </w:tabs>
              <w:suppressAutoHyphens/>
              <w:jc w:val="center"/>
              <w:rPr>
                <w:rFonts w:eastAsia="TimesNewRoman" w:cs="Arial"/>
                <w:sz w:val="22"/>
                <w:szCs w:val="22"/>
                <w:shd w:val="clear" w:color="auto" w:fill="FFFFFF"/>
                <w:lang w:eastAsia="ar-SA"/>
              </w:rPr>
            </w:pPr>
          </w:p>
        </w:tc>
      </w:tr>
      <w:tr w:rsidR="00720A6B" w:rsidRPr="003B5B7D" w:rsidTr="005D3680">
        <w:trPr>
          <w:gridAfter w:val="1"/>
          <w:wAfter w:w="2834" w:type="dxa"/>
        </w:trPr>
        <w:tc>
          <w:tcPr>
            <w:tcW w:w="548" w:type="dxa"/>
            <w:gridSpan w:val="2"/>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p>
        </w:tc>
        <w:tc>
          <w:tcPr>
            <w:tcW w:w="1320" w:type="dxa"/>
            <w:gridSpan w:val="2"/>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p>
        </w:tc>
        <w:tc>
          <w:tcPr>
            <w:tcW w:w="4620" w:type="dxa"/>
            <w:gridSpan w:val="3"/>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p>
        </w:tc>
      </w:tr>
    </w:tbl>
    <w:p w:rsidR="00720A6B" w:rsidRPr="003B5B7D" w:rsidRDefault="00720A6B" w:rsidP="00720A6B">
      <w:pPr>
        <w:tabs>
          <w:tab w:val="left" w:pos="0"/>
        </w:tabs>
        <w:rPr>
          <w:rFonts w:cs="Arial"/>
          <w:sz w:val="22"/>
          <w:szCs w:val="22"/>
          <w:lang w:eastAsia="ar-SA"/>
        </w:rPr>
      </w:pPr>
    </w:p>
    <w:p w:rsidR="00720A6B" w:rsidRPr="003B5B7D" w:rsidRDefault="00720A6B" w:rsidP="00720A6B">
      <w:pPr>
        <w:pStyle w:val="Odstavekseznama"/>
        <w:numPr>
          <w:ilvl w:val="0"/>
          <w:numId w:val="2"/>
        </w:numPr>
        <w:tabs>
          <w:tab w:val="left" w:pos="0"/>
        </w:tabs>
        <w:spacing w:line="260" w:lineRule="exact"/>
        <w:ind w:left="567" w:hanging="567"/>
        <w:rPr>
          <w:rFonts w:ascii="Arial" w:hAnsi="Arial" w:cs="Arial"/>
          <w:b/>
          <w:szCs w:val="22"/>
        </w:rPr>
      </w:pPr>
      <w:r w:rsidRPr="003B5B7D">
        <w:rPr>
          <w:rFonts w:ascii="Arial" w:hAnsi="Arial" w:cs="Arial"/>
          <w:b/>
          <w:bCs/>
          <w:szCs w:val="22"/>
        </w:rPr>
        <w:t xml:space="preserve">Povezava med zbirno-predelovalnimi skupinami OEEO, številkami odpadkov iz seznama odpadkov iz predpisa, ki ureja odpadke, in razredi EEO, </w:t>
      </w:r>
      <w:r w:rsidRPr="003B5B7D">
        <w:rPr>
          <w:rFonts w:ascii="Arial" w:hAnsi="Arial" w:cs="Arial"/>
          <w:b/>
          <w:szCs w:val="22"/>
        </w:rPr>
        <w:t>ki jih zajema ta uredba v obdobju od 1. januarja 2018 dalje:</w:t>
      </w:r>
    </w:p>
    <w:p w:rsidR="00720A6B" w:rsidRPr="003B5B7D" w:rsidRDefault="00720A6B" w:rsidP="00720A6B">
      <w:pPr>
        <w:tabs>
          <w:tab w:val="left" w:pos="0"/>
        </w:tabs>
        <w:rPr>
          <w:rFonts w:cs="Arial"/>
          <w:b/>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
        <w:gridCol w:w="440"/>
        <w:gridCol w:w="94"/>
        <w:gridCol w:w="1225"/>
        <w:gridCol w:w="1500"/>
        <w:gridCol w:w="567"/>
        <w:gridCol w:w="2550"/>
        <w:gridCol w:w="2832"/>
      </w:tblGrid>
      <w:tr w:rsidR="00720A6B" w:rsidRPr="003B5B7D" w:rsidTr="0026207F">
        <w:trPr>
          <w:gridBefore w:val="1"/>
          <w:wBefore w:w="107" w:type="dxa"/>
          <w:trHeight w:val="663"/>
          <w:tblHeader/>
        </w:trPr>
        <w:tc>
          <w:tcPr>
            <w:tcW w:w="3259" w:type="dxa"/>
            <w:gridSpan w:val="4"/>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autoSpaceDE w:val="0"/>
              <w:autoSpaceDN w:val="0"/>
              <w:adjustRightInd w:val="0"/>
              <w:rPr>
                <w:rFonts w:cs="Arial"/>
                <w:b/>
                <w:bCs/>
                <w:sz w:val="22"/>
                <w:szCs w:val="22"/>
                <w:lang w:eastAsia="ar-SA"/>
              </w:rPr>
            </w:pPr>
            <w:r w:rsidRPr="003B5B7D">
              <w:rPr>
                <w:rFonts w:cs="Arial"/>
                <w:b/>
                <w:bCs/>
                <w:sz w:val="22"/>
                <w:szCs w:val="22"/>
              </w:rPr>
              <w:t>Zbirno-predelovalna skupina OEEO</w:t>
            </w:r>
          </w:p>
          <w:p w:rsidR="00720A6B" w:rsidRPr="003B5B7D" w:rsidRDefault="00720A6B" w:rsidP="005D3680">
            <w:pPr>
              <w:tabs>
                <w:tab w:val="left" w:pos="0"/>
              </w:tabs>
              <w:suppressAutoHyphens/>
              <w:autoSpaceDE w:val="0"/>
              <w:autoSpaceDN w:val="0"/>
              <w:adjustRightInd w:val="0"/>
              <w:rPr>
                <w:rFonts w:cs="Arial"/>
                <w:b/>
                <w:bCs/>
                <w:sz w:val="22"/>
                <w:szCs w:val="22"/>
                <w:lang w:eastAsia="ar-SA"/>
              </w:rPr>
            </w:pPr>
            <w:r w:rsidRPr="003B5B7D">
              <w:rPr>
                <w:rFonts w:cs="Arial"/>
                <w:b/>
                <w:bCs/>
                <w:sz w:val="22"/>
                <w:szCs w:val="22"/>
              </w:rPr>
              <w:t>Klasifikacijska številka</w:t>
            </w:r>
          </w:p>
        </w:tc>
        <w:tc>
          <w:tcPr>
            <w:tcW w:w="5949" w:type="dxa"/>
            <w:gridSpan w:val="3"/>
            <w:tcBorders>
              <w:top w:val="single" w:sz="4" w:space="0" w:color="000000"/>
              <w:left w:val="single" w:sz="4" w:space="0" w:color="auto"/>
              <w:bottom w:val="single" w:sz="4" w:space="0" w:color="000000"/>
              <w:right w:val="single" w:sz="4" w:space="0" w:color="000000"/>
            </w:tcBorders>
          </w:tcPr>
          <w:p w:rsidR="00720A6B" w:rsidRPr="003B5B7D" w:rsidRDefault="00720A6B" w:rsidP="005D3680">
            <w:pPr>
              <w:tabs>
                <w:tab w:val="left" w:pos="0"/>
              </w:tabs>
              <w:autoSpaceDE w:val="0"/>
              <w:autoSpaceDN w:val="0"/>
              <w:adjustRightInd w:val="0"/>
              <w:rPr>
                <w:rFonts w:cs="Arial"/>
                <w:b/>
                <w:sz w:val="22"/>
                <w:szCs w:val="22"/>
                <w:lang w:eastAsia="ar-SA"/>
              </w:rPr>
            </w:pPr>
          </w:p>
          <w:p w:rsidR="00720A6B" w:rsidRPr="003B5B7D" w:rsidRDefault="00720A6B" w:rsidP="005D3680">
            <w:pPr>
              <w:tabs>
                <w:tab w:val="left" w:pos="0"/>
              </w:tabs>
              <w:suppressAutoHyphens/>
              <w:autoSpaceDE w:val="0"/>
              <w:autoSpaceDN w:val="0"/>
              <w:adjustRightInd w:val="0"/>
              <w:rPr>
                <w:rFonts w:cs="Arial"/>
                <w:b/>
                <w:sz w:val="22"/>
                <w:szCs w:val="22"/>
                <w:lang w:eastAsia="ar-SA"/>
              </w:rPr>
            </w:pPr>
            <w:r w:rsidRPr="003B5B7D">
              <w:rPr>
                <w:rFonts w:cs="Arial"/>
                <w:b/>
                <w:sz w:val="22"/>
                <w:szCs w:val="22"/>
              </w:rPr>
              <w:t>Razred električne in elektronske opreme</w:t>
            </w:r>
          </w:p>
        </w:tc>
      </w:tr>
      <w:tr w:rsidR="00720A6B" w:rsidRPr="003B5B7D" w:rsidTr="0026207F">
        <w:trPr>
          <w:gridBefore w:val="1"/>
          <w:wBefore w:w="107" w:type="dxa"/>
          <w:trHeight w:val="229"/>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1</w:t>
            </w:r>
          </w:p>
          <w:p w:rsidR="00720A6B" w:rsidRPr="003B5B7D" w:rsidRDefault="00720A6B" w:rsidP="005D3680">
            <w:pPr>
              <w:tabs>
                <w:tab w:val="left" w:pos="0"/>
              </w:tabs>
              <w:suppressAutoHyphens/>
              <w:rPr>
                <w:rFonts w:cs="Arial"/>
                <w:bCs/>
                <w:sz w:val="22"/>
                <w:szCs w:val="22"/>
                <w:lang w:eastAsia="ar-SA"/>
              </w:rPr>
            </w:pPr>
          </w:p>
        </w:tc>
        <w:tc>
          <w:tcPr>
            <w:tcW w:w="2725"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val="pl-PL" w:eastAsia="ar-SA"/>
              </w:rPr>
            </w:pPr>
          </w:p>
          <w:p w:rsidR="00720A6B" w:rsidRPr="003B5B7D" w:rsidRDefault="00720A6B" w:rsidP="005D3680">
            <w:pPr>
              <w:tabs>
                <w:tab w:val="left" w:pos="0"/>
              </w:tabs>
              <w:autoSpaceDE w:val="0"/>
              <w:autoSpaceDN w:val="0"/>
              <w:adjustRightInd w:val="0"/>
              <w:rPr>
                <w:rFonts w:cs="Arial"/>
                <w:b/>
                <w:bCs/>
                <w:sz w:val="22"/>
                <w:szCs w:val="22"/>
                <w:lang w:val="pl-PL"/>
              </w:rPr>
            </w:pPr>
            <w:r w:rsidRPr="003B5B7D">
              <w:rPr>
                <w:rFonts w:cs="Arial"/>
                <w:b/>
                <w:bCs/>
                <w:sz w:val="22"/>
                <w:szCs w:val="22"/>
                <w:lang w:val="pl-PL"/>
              </w:rPr>
              <w:t>Odpadne velike gospodinjske naprave</w:t>
            </w:r>
          </w:p>
          <w:p w:rsidR="00720A6B" w:rsidRPr="003B5B7D" w:rsidRDefault="00720A6B" w:rsidP="005D3680">
            <w:pPr>
              <w:tabs>
                <w:tab w:val="left" w:pos="0"/>
              </w:tabs>
              <w:autoSpaceDE w:val="0"/>
              <w:autoSpaceDN w:val="0"/>
              <w:adjustRightInd w:val="0"/>
              <w:rPr>
                <w:rFonts w:cs="Arial"/>
                <w:bCs/>
                <w:sz w:val="22"/>
                <w:szCs w:val="22"/>
                <w:lang w:val="pl-PL"/>
              </w:rPr>
            </w:pPr>
          </w:p>
          <w:p w:rsidR="00720A6B" w:rsidRPr="003B5B7D" w:rsidRDefault="00720A6B" w:rsidP="005D3680">
            <w:pPr>
              <w:tabs>
                <w:tab w:val="left" w:pos="0"/>
              </w:tabs>
              <w:rPr>
                <w:rFonts w:cs="Arial"/>
                <w:sz w:val="22"/>
                <w:szCs w:val="22"/>
                <w:lang w:val="pl-PL"/>
              </w:rPr>
            </w:pPr>
            <w:r w:rsidRPr="003B5B7D">
              <w:rPr>
                <w:rFonts w:cs="Arial"/>
                <w:sz w:val="22"/>
                <w:szCs w:val="22"/>
                <w:lang w:val="pl-PL"/>
              </w:rPr>
              <w:t>20 01 36, 20 01 35*</w:t>
            </w:r>
          </w:p>
          <w:p w:rsidR="00720A6B" w:rsidRPr="003B5B7D" w:rsidRDefault="00720A6B" w:rsidP="005D3680">
            <w:pPr>
              <w:tabs>
                <w:tab w:val="left" w:pos="0"/>
              </w:tabs>
              <w:suppressAutoHyphens/>
              <w:rPr>
                <w:rFonts w:cs="Arial"/>
                <w:sz w:val="22"/>
                <w:szCs w:val="22"/>
                <w:lang w:val="pl-PL" w:eastAsia="ar-SA"/>
              </w:rPr>
            </w:pPr>
          </w:p>
        </w:tc>
        <w:tc>
          <w:tcPr>
            <w:tcW w:w="567" w:type="dxa"/>
            <w:tcBorders>
              <w:top w:val="single" w:sz="4" w:space="0" w:color="000000"/>
              <w:left w:val="single" w:sz="4" w:space="0" w:color="auto"/>
              <w:bottom w:val="single" w:sz="4" w:space="0" w:color="000000"/>
              <w:right w:val="single" w:sz="4" w:space="0" w:color="000000"/>
            </w:tcBorders>
          </w:tcPr>
          <w:p w:rsidR="00720A6B" w:rsidRPr="003B5B7D" w:rsidRDefault="00720A6B" w:rsidP="005D3680">
            <w:pPr>
              <w:tabs>
                <w:tab w:val="left" w:pos="0"/>
              </w:tabs>
              <w:suppressAutoHyphens/>
              <w:rPr>
                <w:rFonts w:cs="Arial"/>
                <w:bCs/>
                <w:sz w:val="22"/>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r>
      <w:tr w:rsidR="00720A6B" w:rsidRPr="003B5B7D" w:rsidTr="0026207F">
        <w:trPr>
          <w:gridBefore w:val="1"/>
          <w:wBefore w:w="107" w:type="dxa"/>
          <w:trHeight w:val="335"/>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2725"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sz w:val="22"/>
                <w:szCs w:val="22"/>
                <w:lang w:val="pl-PL" w:eastAsia="ar-SA"/>
              </w:rPr>
            </w:pPr>
          </w:p>
        </w:tc>
        <w:tc>
          <w:tcPr>
            <w:tcW w:w="567" w:type="dxa"/>
            <w:tcBorders>
              <w:top w:val="single" w:sz="4" w:space="0" w:color="000000"/>
              <w:left w:val="single" w:sz="4" w:space="0" w:color="auto"/>
              <w:bottom w:val="single" w:sz="4" w:space="0" w:color="000000"/>
              <w:right w:val="single" w:sz="4" w:space="0" w:color="000000"/>
            </w:tcBorders>
          </w:tcPr>
          <w:p w:rsidR="00720A6B" w:rsidRPr="003B5B7D" w:rsidRDefault="00720A6B" w:rsidP="005D3680">
            <w:pPr>
              <w:tabs>
                <w:tab w:val="left" w:pos="0"/>
              </w:tabs>
              <w:suppressAutoHyphens/>
              <w:rPr>
                <w:rFonts w:cs="Arial"/>
                <w:bCs/>
                <w:sz w:val="22"/>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720A6B" w:rsidRPr="003B5B7D" w:rsidRDefault="00720A6B" w:rsidP="005D3680">
            <w:pPr>
              <w:tabs>
                <w:tab w:val="left" w:pos="0"/>
              </w:tabs>
              <w:suppressAutoHyphens/>
              <w:rPr>
                <w:rFonts w:cs="Arial"/>
                <w:bCs/>
                <w:sz w:val="22"/>
                <w:szCs w:val="22"/>
                <w:lang w:eastAsia="ar-SA"/>
              </w:rPr>
            </w:pPr>
          </w:p>
        </w:tc>
      </w:tr>
      <w:tr w:rsidR="00720A6B" w:rsidRPr="003B5B7D" w:rsidTr="0026207F">
        <w:trPr>
          <w:gridBefore w:val="1"/>
          <w:wBefore w:w="107" w:type="dxa"/>
          <w:trHeight w:val="555"/>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2725"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sz w:val="22"/>
                <w:szCs w:val="22"/>
                <w:lang w:val="pl-PL" w:eastAsia="ar-SA"/>
              </w:rPr>
            </w:pPr>
          </w:p>
        </w:tc>
        <w:tc>
          <w:tcPr>
            <w:tcW w:w="567" w:type="dxa"/>
            <w:tcBorders>
              <w:top w:val="single" w:sz="4" w:space="0" w:color="000000"/>
              <w:left w:val="single" w:sz="4" w:space="0" w:color="auto"/>
              <w:bottom w:val="single" w:sz="4" w:space="0" w:color="auto"/>
              <w:right w:val="single" w:sz="4" w:space="0" w:color="000000"/>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bCs/>
                <w:sz w:val="22"/>
                <w:szCs w:val="22"/>
              </w:rPr>
              <w:t>4</w:t>
            </w:r>
          </w:p>
        </w:tc>
        <w:tc>
          <w:tcPr>
            <w:tcW w:w="5382" w:type="dxa"/>
            <w:gridSpan w:val="2"/>
            <w:tcBorders>
              <w:top w:val="single" w:sz="4" w:space="0" w:color="000000"/>
              <w:left w:val="single" w:sz="4" w:space="0" w:color="000000"/>
              <w:bottom w:val="single" w:sz="4" w:space="0" w:color="auto"/>
              <w:right w:val="single" w:sz="4" w:space="0" w:color="000000"/>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sz w:val="22"/>
                <w:szCs w:val="22"/>
              </w:rPr>
              <w:t>Velika oprema (katera koli zunanja dimenzija večja od 50 cm)</w:t>
            </w:r>
          </w:p>
        </w:tc>
      </w:tr>
      <w:tr w:rsidR="00720A6B" w:rsidRPr="003B5B7D" w:rsidTr="0026207F">
        <w:trPr>
          <w:gridBefore w:val="1"/>
          <w:wBefore w:w="107"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2</w:t>
            </w:r>
          </w:p>
          <w:p w:rsidR="00720A6B" w:rsidRPr="003B5B7D" w:rsidRDefault="00720A6B" w:rsidP="005D3680">
            <w:pPr>
              <w:tabs>
                <w:tab w:val="left" w:pos="0"/>
              </w:tabs>
              <w:suppressAutoHyphens/>
              <w:rPr>
                <w:rFonts w:cs="Arial"/>
                <w:bCs/>
                <w:sz w:val="22"/>
                <w:szCs w:val="22"/>
                <w:lang w:eastAsia="ar-SA"/>
              </w:rPr>
            </w:pPr>
          </w:p>
        </w:tc>
        <w:tc>
          <w:tcPr>
            <w:tcW w:w="2725"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
                <w:bCs/>
                <w:sz w:val="22"/>
                <w:szCs w:val="22"/>
              </w:rPr>
            </w:pPr>
            <w:r w:rsidRPr="003B5B7D">
              <w:rPr>
                <w:rFonts w:cs="Arial"/>
                <w:b/>
                <w:bCs/>
                <w:sz w:val="22"/>
                <w:szCs w:val="22"/>
              </w:rPr>
              <w:lastRenderedPageBreak/>
              <w:t>Odpadne naprave za hlajenje in zamrzovanje</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r w:rsidRPr="003B5B7D">
              <w:rPr>
                <w:rFonts w:cs="Arial"/>
                <w:bCs/>
                <w:sz w:val="22"/>
                <w:szCs w:val="22"/>
                <w:lang w:val="pl-PL"/>
              </w:rPr>
              <w:t>20 01 23*</w:t>
            </w: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lastRenderedPageBreak/>
              <w:t>1</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382"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bCs/>
                <w:sz w:val="22"/>
                <w:szCs w:val="22"/>
                <w:lang w:eastAsia="ar-SA"/>
              </w:rPr>
            </w:pPr>
            <w:r w:rsidRPr="003B5B7D">
              <w:rPr>
                <w:rFonts w:cs="Arial"/>
                <w:bCs/>
                <w:sz w:val="22"/>
                <w:szCs w:val="22"/>
              </w:rPr>
              <w:lastRenderedPageBreak/>
              <w:t>Oprema za toplotno izmenjavo</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r>
      <w:tr w:rsidR="00720A6B" w:rsidRPr="003B5B7D" w:rsidTr="0026207F">
        <w:trPr>
          <w:gridBefore w:val="1"/>
          <w:wBefore w:w="107" w:type="dxa"/>
          <w:trHeight w:val="403"/>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2725"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382"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r>
      <w:tr w:rsidR="00720A6B" w:rsidRPr="003B5B7D" w:rsidTr="0026207F">
        <w:trPr>
          <w:gridBefore w:val="1"/>
          <w:wBefore w:w="107"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3</w:t>
            </w:r>
          </w:p>
          <w:p w:rsidR="00720A6B" w:rsidRPr="003B5B7D" w:rsidRDefault="00720A6B" w:rsidP="005D3680">
            <w:pPr>
              <w:tabs>
                <w:tab w:val="left" w:pos="0"/>
              </w:tabs>
              <w:suppressAutoHyphens/>
              <w:rPr>
                <w:rFonts w:cs="Arial"/>
                <w:bCs/>
                <w:sz w:val="22"/>
                <w:szCs w:val="22"/>
                <w:lang w:eastAsia="ar-SA"/>
              </w:rPr>
            </w:pPr>
          </w:p>
        </w:tc>
        <w:tc>
          <w:tcPr>
            <w:tcW w:w="2725"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val="it-IT" w:eastAsia="ar-SA"/>
              </w:rPr>
            </w:pPr>
          </w:p>
          <w:p w:rsidR="00720A6B" w:rsidRPr="003B5B7D" w:rsidRDefault="00720A6B" w:rsidP="005D3680">
            <w:pPr>
              <w:tabs>
                <w:tab w:val="left" w:pos="0"/>
              </w:tabs>
              <w:autoSpaceDE w:val="0"/>
              <w:autoSpaceDN w:val="0"/>
              <w:adjustRightInd w:val="0"/>
              <w:rPr>
                <w:rFonts w:cs="Arial"/>
                <w:b/>
                <w:bCs/>
                <w:sz w:val="22"/>
                <w:szCs w:val="22"/>
              </w:rPr>
            </w:pPr>
            <w:proofErr w:type="spellStart"/>
            <w:r w:rsidRPr="003B5B7D">
              <w:rPr>
                <w:rFonts w:cs="Arial"/>
                <w:b/>
                <w:sz w:val="22"/>
                <w:szCs w:val="22"/>
                <w:lang w:val="it-IT"/>
              </w:rPr>
              <w:t>Odpadni</w:t>
            </w:r>
            <w:proofErr w:type="spellEnd"/>
            <w:r w:rsidRPr="003B5B7D">
              <w:rPr>
                <w:rFonts w:cs="Arial"/>
                <w:b/>
                <w:sz w:val="22"/>
                <w:szCs w:val="22"/>
                <w:lang w:val="it-IT"/>
              </w:rPr>
              <w:t xml:space="preserve"> TV </w:t>
            </w:r>
            <w:proofErr w:type="spellStart"/>
            <w:r w:rsidRPr="003B5B7D">
              <w:rPr>
                <w:rFonts w:cs="Arial"/>
                <w:b/>
                <w:sz w:val="22"/>
                <w:szCs w:val="22"/>
                <w:lang w:val="it-IT"/>
              </w:rPr>
              <w:t>sprejemniki</w:t>
            </w:r>
            <w:proofErr w:type="spellEnd"/>
            <w:r w:rsidRPr="003B5B7D">
              <w:rPr>
                <w:rFonts w:cs="Arial"/>
                <w:b/>
                <w:sz w:val="22"/>
                <w:szCs w:val="22"/>
                <w:lang w:val="it-IT"/>
              </w:rPr>
              <w:t xml:space="preserve">, </w:t>
            </w:r>
            <w:proofErr w:type="spellStart"/>
            <w:r w:rsidRPr="003B5B7D">
              <w:rPr>
                <w:rFonts w:cs="Arial"/>
                <w:b/>
                <w:sz w:val="22"/>
                <w:szCs w:val="22"/>
                <w:lang w:val="it-IT"/>
              </w:rPr>
              <w:t>zasloni</w:t>
            </w:r>
            <w:proofErr w:type="spellEnd"/>
            <w:r w:rsidRPr="003B5B7D">
              <w:rPr>
                <w:rFonts w:cs="Arial"/>
                <w:b/>
                <w:sz w:val="22"/>
                <w:szCs w:val="22"/>
                <w:lang w:val="it-IT"/>
              </w:rPr>
              <w:t xml:space="preserve"> in </w:t>
            </w:r>
            <w:proofErr w:type="spellStart"/>
            <w:r w:rsidRPr="003B5B7D">
              <w:rPr>
                <w:rFonts w:cs="Arial"/>
                <w:b/>
                <w:sz w:val="22"/>
                <w:szCs w:val="22"/>
                <w:lang w:val="it-IT"/>
              </w:rPr>
              <w:t>slikovne</w:t>
            </w:r>
            <w:proofErr w:type="spellEnd"/>
            <w:r w:rsidRPr="003B5B7D">
              <w:rPr>
                <w:rFonts w:cs="Arial"/>
                <w:b/>
                <w:sz w:val="22"/>
                <w:szCs w:val="22"/>
                <w:lang w:val="it-IT"/>
              </w:rPr>
              <w:t xml:space="preserve"> </w:t>
            </w:r>
            <w:proofErr w:type="spellStart"/>
            <w:proofErr w:type="gramStart"/>
            <w:r w:rsidRPr="003B5B7D">
              <w:rPr>
                <w:rFonts w:cs="Arial"/>
                <w:b/>
                <w:sz w:val="22"/>
                <w:szCs w:val="22"/>
                <w:lang w:val="it-IT"/>
              </w:rPr>
              <w:t>cevi</w:t>
            </w:r>
            <w:proofErr w:type="spellEnd"/>
            <w:proofErr w:type="gramEnd"/>
          </w:p>
          <w:p w:rsidR="00720A6B" w:rsidRPr="003B5B7D" w:rsidRDefault="00720A6B" w:rsidP="005D3680">
            <w:pPr>
              <w:tabs>
                <w:tab w:val="left" w:pos="0"/>
              </w:tabs>
              <w:suppressAutoHyphens/>
              <w:autoSpaceDE w:val="0"/>
              <w:autoSpaceDN w:val="0"/>
              <w:adjustRightInd w:val="0"/>
              <w:rPr>
                <w:rFonts w:cs="Arial"/>
                <w:bCs/>
                <w:sz w:val="22"/>
                <w:szCs w:val="22"/>
                <w:lang w:eastAsia="ar-SA"/>
              </w:rPr>
            </w:pPr>
            <w:r w:rsidRPr="003B5B7D">
              <w:rPr>
                <w:rFonts w:cs="Arial"/>
                <w:sz w:val="22"/>
                <w:szCs w:val="22"/>
                <w:lang w:val="pl-PL"/>
              </w:rPr>
              <w:t>20 01 35*</w:t>
            </w: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r w:rsidRPr="003B5B7D">
              <w:rPr>
                <w:rFonts w:cs="Arial"/>
                <w:sz w:val="22"/>
                <w:szCs w:val="22"/>
              </w:rPr>
              <w:t>2</w:t>
            </w:r>
          </w:p>
          <w:p w:rsidR="00720A6B" w:rsidRPr="003B5B7D" w:rsidRDefault="00720A6B" w:rsidP="005D3680">
            <w:pPr>
              <w:tabs>
                <w:tab w:val="left" w:pos="0"/>
              </w:tabs>
              <w:suppressAutoHyphens/>
              <w:rPr>
                <w:rFonts w:cs="Arial"/>
                <w:bCs/>
                <w:sz w:val="22"/>
                <w:szCs w:val="22"/>
                <w:lang w:eastAsia="ar-SA"/>
              </w:rPr>
            </w:pPr>
          </w:p>
        </w:tc>
        <w:tc>
          <w:tcPr>
            <w:tcW w:w="5382"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val="pl-PL" w:eastAsia="ar-SA"/>
              </w:rPr>
            </w:pPr>
            <w:r w:rsidRPr="003B5B7D">
              <w:rPr>
                <w:rFonts w:cs="Arial"/>
                <w:sz w:val="22"/>
                <w:szCs w:val="22"/>
              </w:rPr>
              <w:t>Zasloni, monitorji in oprema z zasloni, katerih površina je večja od 100 cm2</w:t>
            </w:r>
          </w:p>
        </w:tc>
      </w:tr>
      <w:tr w:rsidR="00720A6B" w:rsidRPr="003B5B7D" w:rsidTr="0026207F">
        <w:trPr>
          <w:gridBefore w:val="1"/>
          <w:wBefore w:w="107" w:type="dxa"/>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2725"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suppressAutoHyphens/>
              <w:rPr>
                <w:rFonts w:cs="Arial"/>
                <w:bCs/>
                <w:sz w:val="22"/>
                <w:szCs w:val="22"/>
                <w:lang w:eastAsia="ar-SA"/>
              </w:rPr>
            </w:pPr>
          </w:p>
        </w:tc>
        <w:tc>
          <w:tcPr>
            <w:tcW w:w="5382"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suppressAutoHyphens/>
              <w:autoSpaceDE w:val="0"/>
              <w:autoSpaceDN w:val="0"/>
              <w:adjustRightInd w:val="0"/>
              <w:rPr>
                <w:rFonts w:cs="Arial"/>
                <w:sz w:val="22"/>
                <w:szCs w:val="22"/>
                <w:lang w:eastAsia="ar-SA"/>
              </w:rPr>
            </w:pPr>
          </w:p>
        </w:tc>
      </w:tr>
      <w:tr w:rsidR="00720A6B" w:rsidRPr="003B5B7D" w:rsidTr="0026207F">
        <w:trPr>
          <w:gridBefore w:val="1"/>
          <w:wBefore w:w="107" w:type="dxa"/>
        </w:trPr>
        <w:tc>
          <w:tcPr>
            <w:tcW w:w="534"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
                <w:bCs/>
                <w:sz w:val="22"/>
                <w:szCs w:val="22"/>
              </w:rPr>
            </w:pPr>
            <w:r w:rsidRPr="003B5B7D">
              <w:rPr>
                <w:rFonts w:cs="Arial"/>
                <w:b/>
                <w:bCs/>
                <w:sz w:val="22"/>
                <w:szCs w:val="22"/>
              </w:rPr>
              <w:t>4</w:t>
            </w: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Cs/>
                <w:sz w:val="22"/>
                <w:szCs w:val="22"/>
                <w:lang w:eastAsia="ar-SA"/>
              </w:rPr>
            </w:pPr>
          </w:p>
        </w:tc>
        <w:tc>
          <w:tcPr>
            <w:tcW w:w="2725" w:type="dxa"/>
            <w:gridSpan w:val="2"/>
            <w:vMerge w:val="restart"/>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
                <w:sz w:val="22"/>
                <w:szCs w:val="22"/>
              </w:rPr>
            </w:pPr>
            <w:r w:rsidRPr="003B5B7D">
              <w:rPr>
                <w:rFonts w:cs="Arial"/>
                <w:b/>
                <w:sz w:val="22"/>
                <w:szCs w:val="22"/>
              </w:rPr>
              <w:t>Odpadna mala EEO</w:t>
            </w:r>
          </w:p>
          <w:p w:rsidR="00720A6B" w:rsidRPr="003B5B7D" w:rsidRDefault="00720A6B" w:rsidP="005D3680">
            <w:pPr>
              <w:tabs>
                <w:tab w:val="left" w:pos="0"/>
              </w:tabs>
              <w:autoSpaceDE w:val="0"/>
              <w:autoSpaceDN w:val="0"/>
              <w:adjustRightInd w:val="0"/>
              <w:rPr>
                <w:rFonts w:cs="Arial"/>
                <w:sz w:val="22"/>
                <w:szCs w:val="22"/>
                <w:lang w:val="pl-PL"/>
              </w:rPr>
            </w:pPr>
            <w:r w:rsidRPr="003B5B7D">
              <w:rPr>
                <w:rFonts w:cs="Arial"/>
                <w:sz w:val="22"/>
                <w:szCs w:val="22"/>
                <w:lang w:val="pl-PL"/>
              </w:rPr>
              <w:t>20 01 36, 20 01 35*</w:t>
            </w:r>
          </w:p>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autoSpaceDE w:val="0"/>
              <w:autoSpaceDN w:val="0"/>
              <w:adjustRightInd w:val="0"/>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bCs/>
                <w:sz w:val="22"/>
                <w:szCs w:val="22"/>
              </w:rPr>
              <w:t>5</w:t>
            </w:r>
          </w:p>
        </w:tc>
        <w:tc>
          <w:tcPr>
            <w:tcW w:w="5382"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sz w:val="22"/>
                <w:szCs w:val="22"/>
              </w:rPr>
              <w:t>Majhna oprema (nobena zunanja dimenzija ni večja od 50 cm)</w:t>
            </w:r>
          </w:p>
        </w:tc>
      </w:tr>
      <w:tr w:rsidR="00720A6B" w:rsidRPr="003B5B7D" w:rsidTr="0026207F">
        <w:trPr>
          <w:gridBefore w:val="1"/>
          <w:wBefore w:w="107" w:type="dxa"/>
          <w:trHeight w:val="618"/>
        </w:trPr>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2725" w:type="dxa"/>
            <w:gridSpan w:val="2"/>
            <w:vMerge/>
            <w:tcBorders>
              <w:top w:val="single" w:sz="4" w:space="0" w:color="auto"/>
              <w:left w:val="single" w:sz="4" w:space="0" w:color="auto"/>
              <w:bottom w:val="single" w:sz="4" w:space="0" w:color="auto"/>
              <w:right w:val="single" w:sz="4" w:space="0" w:color="auto"/>
            </w:tcBorders>
            <w:vAlign w:val="center"/>
            <w:hideMark/>
          </w:tcPr>
          <w:p w:rsidR="00720A6B" w:rsidRPr="003B5B7D" w:rsidRDefault="00720A6B" w:rsidP="005D3680">
            <w:pPr>
              <w:tabs>
                <w:tab w:val="left" w:pos="0"/>
              </w:tabs>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rPr>
                <w:rFonts w:cs="Arial"/>
                <w:bCs/>
                <w:sz w:val="22"/>
                <w:szCs w:val="22"/>
                <w:lang w:eastAsia="ar-SA"/>
              </w:rPr>
            </w:pPr>
            <w:r w:rsidRPr="003B5B7D">
              <w:rPr>
                <w:rFonts w:cs="Arial"/>
                <w:bCs/>
                <w:sz w:val="22"/>
                <w:szCs w:val="22"/>
              </w:rPr>
              <w:t>6</w:t>
            </w:r>
          </w:p>
        </w:tc>
        <w:tc>
          <w:tcPr>
            <w:tcW w:w="5382" w:type="dxa"/>
            <w:gridSpan w:val="2"/>
            <w:tcBorders>
              <w:top w:val="single" w:sz="4" w:space="0" w:color="auto"/>
              <w:left w:val="single" w:sz="4" w:space="0" w:color="auto"/>
              <w:bottom w:val="single" w:sz="4" w:space="0" w:color="auto"/>
              <w:right w:val="single" w:sz="4" w:space="0" w:color="auto"/>
            </w:tcBorders>
            <w:hideMark/>
          </w:tcPr>
          <w:p w:rsidR="00720A6B" w:rsidRPr="003B5B7D" w:rsidRDefault="00720A6B" w:rsidP="005D3680">
            <w:pPr>
              <w:tabs>
                <w:tab w:val="left" w:pos="0"/>
              </w:tabs>
              <w:suppressAutoHyphens/>
              <w:autoSpaceDE w:val="0"/>
              <w:autoSpaceDN w:val="0"/>
              <w:adjustRightInd w:val="0"/>
              <w:rPr>
                <w:rFonts w:cs="Arial"/>
                <w:sz w:val="22"/>
                <w:szCs w:val="22"/>
                <w:lang w:val="pl-PL" w:eastAsia="ar-SA"/>
              </w:rPr>
            </w:pPr>
            <w:r w:rsidRPr="003B5B7D">
              <w:rPr>
                <w:rFonts w:cs="Arial"/>
                <w:sz w:val="22"/>
                <w:szCs w:val="22"/>
              </w:rPr>
              <w:t>Majhna oprema za IT in telekomunikacije (nobena zunanja dimenzija ni večja od 50 cm)</w:t>
            </w:r>
          </w:p>
        </w:tc>
      </w:tr>
      <w:tr w:rsidR="00720A6B" w:rsidRPr="003B5B7D" w:rsidTr="0026207F">
        <w:trPr>
          <w:gridBefore w:val="1"/>
          <w:wBefore w:w="107" w:type="dxa"/>
          <w:trHeight w:val="962"/>
        </w:trPr>
        <w:tc>
          <w:tcPr>
            <w:tcW w:w="534"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bCs/>
                <w:sz w:val="22"/>
                <w:szCs w:val="22"/>
                <w:lang w:eastAsia="ar-SA"/>
              </w:rPr>
            </w:pP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rPr>
                <w:rFonts w:cs="Arial"/>
                <w:b/>
                <w:bCs/>
                <w:sz w:val="22"/>
                <w:szCs w:val="22"/>
              </w:rPr>
            </w:pPr>
            <w:r w:rsidRPr="003B5B7D">
              <w:rPr>
                <w:rFonts w:cs="Arial"/>
                <w:b/>
                <w:bCs/>
                <w:sz w:val="22"/>
                <w:szCs w:val="22"/>
              </w:rPr>
              <w:t>5</w:t>
            </w:r>
          </w:p>
          <w:p w:rsidR="00720A6B" w:rsidRPr="003B5B7D" w:rsidRDefault="00720A6B" w:rsidP="005D3680">
            <w:pPr>
              <w:tabs>
                <w:tab w:val="left" w:pos="0"/>
              </w:tabs>
              <w:suppressAutoHyphens/>
              <w:rPr>
                <w:rFonts w:cs="Arial"/>
                <w:bCs/>
                <w:sz w:val="22"/>
                <w:szCs w:val="22"/>
                <w:lang w:eastAsia="ar-SA"/>
              </w:rPr>
            </w:pPr>
          </w:p>
        </w:tc>
        <w:tc>
          <w:tcPr>
            <w:tcW w:w="2725"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b/>
                <w:sz w:val="22"/>
                <w:szCs w:val="22"/>
              </w:rPr>
            </w:pPr>
            <w:r w:rsidRPr="003B5B7D">
              <w:rPr>
                <w:rFonts w:cs="Arial"/>
                <w:b/>
                <w:sz w:val="22"/>
                <w:szCs w:val="22"/>
              </w:rPr>
              <w:t>Odpadne plinske sijalke</w:t>
            </w:r>
          </w:p>
          <w:p w:rsidR="00720A6B" w:rsidRPr="003B5B7D" w:rsidRDefault="00720A6B" w:rsidP="005D3680">
            <w:pPr>
              <w:tabs>
                <w:tab w:val="left" w:pos="0"/>
              </w:tabs>
              <w:rPr>
                <w:rFonts w:cs="Arial"/>
                <w:bCs/>
                <w:sz w:val="22"/>
                <w:szCs w:val="22"/>
              </w:rPr>
            </w:pPr>
          </w:p>
          <w:p w:rsidR="00720A6B" w:rsidRPr="003B5B7D" w:rsidRDefault="00720A6B" w:rsidP="005D3680">
            <w:pPr>
              <w:tabs>
                <w:tab w:val="left" w:pos="0"/>
              </w:tabs>
              <w:autoSpaceDE w:val="0"/>
              <w:autoSpaceDN w:val="0"/>
              <w:adjustRightInd w:val="0"/>
              <w:rPr>
                <w:rFonts w:cs="Arial"/>
                <w:sz w:val="22"/>
                <w:szCs w:val="22"/>
                <w:lang w:val="it-IT"/>
              </w:rPr>
            </w:pPr>
            <w:r w:rsidRPr="003B5B7D">
              <w:rPr>
                <w:rFonts w:cs="Arial"/>
                <w:sz w:val="22"/>
                <w:szCs w:val="22"/>
                <w:lang w:val="it-IT"/>
              </w:rPr>
              <w:t>20 01 21*</w:t>
            </w:r>
          </w:p>
          <w:p w:rsidR="00720A6B" w:rsidRPr="003B5B7D" w:rsidRDefault="00720A6B" w:rsidP="005D3680">
            <w:pPr>
              <w:tabs>
                <w:tab w:val="left" w:pos="0"/>
              </w:tabs>
              <w:suppressAutoHyphens/>
              <w:autoSpaceDE w:val="0"/>
              <w:autoSpaceDN w:val="0"/>
              <w:adjustRightInd w:val="0"/>
              <w:rPr>
                <w:rFonts w:cs="Arial"/>
                <w:bCs/>
                <w:sz w:val="22"/>
                <w:szCs w:val="22"/>
                <w:lang w:eastAsia="ar-SA"/>
              </w:rPr>
            </w:pPr>
          </w:p>
        </w:tc>
        <w:tc>
          <w:tcPr>
            <w:tcW w:w="567" w:type="dxa"/>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rPr>
                <w:rFonts w:cs="Arial"/>
                <w:sz w:val="22"/>
                <w:szCs w:val="22"/>
                <w:lang w:eastAsia="ar-SA"/>
              </w:rPr>
            </w:pPr>
          </w:p>
          <w:p w:rsidR="00720A6B" w:rsidRPr="003B5B7D" w:rsidRDefault="00720A6B" w:rsidP="005D3680">
            <w:pPr>
              <w:tabs>
                <w:tab w:val="left" w:pos="0"/>
              </w:tabs>
              <w:rPr>
                <w:rFonts w:cs="Arial"/>
                <w:sz w:val="22"/>
                <w:szCs w:val="22"/>
              </w:rPr>
            </w:pPr>
          </w:p>
          <w:p w:rsidR="00720A6B" w:rsidRPr="003B5B7D" w:rsidRDefault="00720A6B" w:rsidP="005D3680">
            <w:pPr>
              <w:tabs>
                <w:tab w:val="left" w:pos="0"/>
              </w:tabs>
              <w:rPr>
                <w:rFonts w:cs="Arial"/>
                <w:sz w:val="22"/>
                <w:szCs w:val="22"/>
              </w:rPr>
            </w:pPr>
            <w:r w:rsidRPr="003B5B7D">
              <w:rPr>
                <w:rFonts w:cs="Arial"/>
                <w:sz w:val="22"/>
                <w:szCs w:val="22"/>
              </w:rPr>
              <w:t>3</w:t>
            </w:r>
          </w:p>
          <w:p w:rsidR="00720A6B" w:rsidRPr="003B5B7D" w:rsidRDefault="00720A6B" w:rsidP="005D3680">
            <w:pPr>
              <w:tabs>
                <w:tab w:val="left" w:pos="0"/>
              </w:tabs>
              <w:suppressAutoHyphens/>
              <w:rPr>
                <w:rFonts w:cs="Arial"/>
                <w:bCs/>
                <w:sz w:val="22"/>
                <w:szCs w:val="22"/>
                <w:lang w:eastAsia="ar-SA"/>
              </w:rPr>
            </w:pPr>
          </w:p>
        </w:tc>
        <w:tc>
          <w:tcPr>
            <w:tcW w:w="5382" w:type="dxa"/>
            <w:gridSpan w:val="2"/>
            <w:tcBorders>
              <w:top w:val="single" w:sz="4" w:space="0" w:color="auto"/>
              <w:left w:val="single" w:sz="4" w:space="0" w:color="auto"/>
              <w:bottom w:val="single" w:sz="4" w:space="0" w:color="auto"/>
              <w:right w:val="single" w:sz="4" w:space="0" w:color="auto"/>
            </w:tcBorders>
          </w:tcPr>
          <w:p w:rsidR="00720A6B" w:rsidRPr="003B5B7D" w:rsidRDefault="00720A6B" w:rsidP="005D3680">
            <w:pPr>
              <w:tabs>
                <w:tab w:val="left" w:pos="0"/>
              </w:tabs>
              <w:autoSpaceDE w:val="0"/>
              <w:autoSpaceDN w:val="0"/>
              <w:adjustRightInd w:val="0"/>
              <w:rPr>
                <w:rFonts w:cs="Arial"/>
                <w:sz w:val="22"/>
                <w:szCs w:val="22"/>
                <w:lang w:eastAsia="ar-SA"/>
              </w:rPr>
            </w:pPr>
          </w:p>
          <w:p w:rsidR="00720A6B" w:rsidRPr="003B5B7D" w:rsidRDefault="00720A6B" w:rsidP="005D3680">
            <w:pPr>
              <w:tabs>
                <w:tab w:val="left" w:pos="0"/>
              </w:tabs>
              <w:autoSpaceDE w:val="0"/>
              <w:autoSpaceDN w:val="0"/>
              <w:adjustRightInd w:val="0"/>
              <w:rPr>
                <w:rFonts w:cs="Arial"/>
                <w:sz w:val="22"/>
                <w:szCs w:val="22"/>
              </w:rPr>
            </w:pPr>
          </w:p>
          <w:p w:rsidR="00720A6B" w:rsidRPr="003B5B7D" w:rsidRDefault="00720A6B" w:rsidP="005D3680">
            <w:pPr>
              <w:tabs>
                <w:tab w:val="left" w:pos="0"/>
              </w:tabs>
              <w:autoSpaceDE w:val="0"/>
              <w:autoSpaceDN w:val="0"/>
              <w:adjustRightInd w:val="0"/>
              <w:rPr>
                <w:rFonts w:cs="Arial"/>
                <w:sz w:val="22"/>
                <w:szCs w:val="22"/>
              </w:rPr>
            </w:pPr>
            <w:r w:rsidRPr="003B5B7D">
              <w:rPr>
                <w:rFonts w:cs="Arial"/>
                <w:sz w:val="22"/>
                <w:szCs w:val="22"/>
              </w:rPr>
              <w:t>Sijalke</w:t>
            </w:r>
          </w:p>
          <w:p w:rsidR="00720A6B" w:rsidRPr="003B5B7D" w:rsidRDefault="00720A6B" w:rsidP="005D3680">
            <w:pPr>
              <w:tabs>
                <w:tab w:val="left" w:pos="0"/>
              </w:tabs>
              <w:suppressAutoHyphens/>
              <w:autoSpaceDE w:val="0"/>
              <w:autoSpaceDN w:val="0"/>
              <w:adjustRightInd w:val="0"/>
              <w:rPr>
                <w:rFonts w:cs="Arial"/>
                <w:sz w:val="22"/>
                <w:szCs w:val="22"/>
                <w:lang w:eastAsia="ar-SA"/>
              </w:rPr>
            </w:pPr>
          </w:p>
        </w:tc>
      </w:tr>
      <w:tr w:rsidR="00720A6B" w:rsidRPr="003B5B7D" w:rsidTr="005D3680">
        <w:trPr>
          <w:gridAfter w:val="1"/>
          <w:wAfter w:w="2832" w:type="dxa"/>
        </w:trPr>
        <w:tc>
          <w:tcPr>
            <w:tcW w:w="547" w:type="dxa"/>
            <w:gridSpan w:val="2"/>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r w:rsidRPr="003B5B7D">
              <w:rPr>
                <w:rFonts w:eastAsia="TimesNewRoman" w:cs="Arial"/>
                <w:sz w:val="22"/>
                <w:szCs w:val="22"/>
                <w:shd w:val="clear" w:color="auto" w:fill="FFFFFF"/>
                <w:lang w:eastAsia="ar-SA"/>
              </w:rPr>
              <w:t>».</w:t>
            </w:r>
          </w:p>
          <w:p w:rsidR="00720A6B" w:rsidRPr="003B5B7D" w:rsidRDefault="00720A6B" w:rsidP="005D3680">
            <w:pPr>
              <w:tabs>
                <w:tab w:val="left" w:pos="0"/>
              </w:tabs>
              <w:suppressAutoHyphens/>
              <w:rPr>
                <w:rFonts w:eastAsia="TimesNewRoman" w:cs="Arial"/>
                <w:sz w:val="22"/>
                <w:szCs w:val="22"/>
                <w:shd w:val="clear" w:color="auto" w:fill="FFFFFF"/>
                <w:lang w:eastAsia="ar-SA"/>
              </w:rPr>
            </w:pPr>
          </w:p>
          <w:p w:rsidR="00720A6B" w:rsidRPr="003B5B7D" w:rsidRDefault="00720A6B" w:rsidP="005D3680">
            <w:pPr>
              <w:tabs>
                <w:tab w:val="left" w:pos="0"/>
              </w:tabs>
              <w:suppressAutoHyphens/>
              <w:rPr>
                <w:rFonts w:eastAsia="TimesNewRoman" w:cs="Arial"/>
                <w:sz w:val="22"/>
                <w:szCs w:val="22"/>
                <w:shd w:val="clear" w:color="auto" w:fill="FFFFFF"/>
                <w:lang w:eastAsia="ar-SA"/>
              </w:rPr>
            </w:pPr>
          </w:p>
        </w:tc>
        <w:tc>
          <w:tcPr>
            <w:tcW w:w="1319" w:type="dxa"/>
            <w:gridSpan w:val="2"/>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p>
        </w:tc>
        <w:tc>
          <w:tcPr>
            <w:tcW w:w="4617" w:type="dxa"/>
            <w:gridSpan w:val="3"/>
            <w:tcBorders>
              <w:top w:val="nil"/>
              <w:left w:val="nil"/>
              <w:bottom w:val="nil"/>
              <w:right w:val="nil"/>
            </w:tcBorders>
          </w:tcPr>
          <w:p w:rsidR="00720A6B" w:rsidRPr="003B5B7D" w:rsidRDefault="00720A6B" w:rsidP="005D3680">
            <w:pPr>
              <w:tabs>
                <w:tab w:val="left" w:pos="0"/>
              </w:tabs>
              <w:suppressAutoHyphens/>
              <w:rPr>
                <w:rFonts w:eastAsia="TimesNewRoman" w:cs="Arial"/>
                <w:sz w:val="22"/>
                <w:szCs w:val="22"/>
                <w:shd w:val="clear" w:color="auto" w:fill="FFFFFF"/>
                <w:lang w:eastAsia="ar-SA"/>
              </w:rPr>
            </w:pPr>
          </w:p>
        </w:tc>
      </w:tr>
    </w:tbl>
    <w:p w:rsidR="00720A6B" w:rsidRPr="003B5B7D" w:rsidRDefault="00720A6B" w:rsidP="00720A6B">
      <w:pPr>
        <w:pStyle w:val="Telobesedila"/>
        <w:numPr>
          <w:ilvl w:val="0"/>
          <w:numId w:val="3"/>
        </w:numPr>
        <w:tabs>
          <w:tab w:val="left" w:pos="0"/>
        </w:tabs>
        <w:spacing w:line="260" w:lineRule="exact"/>
        <w:jc w:val="center"/>
        <w:rPr>
          <w:rFonts w:ascii="Arial" w:hAnsi="Arial" w:cs="Arial"/>
          <w:b w:val="0"/>
          <w:sz w:val="22"/>
          <w:szCs w:val="22"/>
        </w:rPr>
      </w:pPr>
      <w:r w:rsidRPr="003B5B7D">
        <w:rPr>
          <w:rFonts w:ascii="Arial" w:hAnsi="Arial" w:cs="Arial"/>
          <w:b w:val="0"/>
          <w:sz w:val="22"/>
          <w:szCs w:val="22"/>
        </w:rPr>
        <w:t>člen</w:t>
      </w:r>
    </w:p>
    <w:p w:rsidR="00720A6B" w:rsidRPr="003B5B7D" w:rsidRDefault="00720A6B" w:rsidP="00720A6B">
      <w:pPr>
        <w:pStyle w:val="Telobesedila"/>
        <w:tabs>
          <w:tab w:val="left" w:pos="0"/>
        </w:tabs>
        <w:spacing w:line="260" w:lineRule="exact"/>
        <w:jc w:val="center"/>
        <w:rPr>
          <w:rFonts w:ascii="Arial" w:hAnsi="Arial" w:cs="Arial"/>
          <w:b w:val="0"/>
          <w:sz w:val="22"/>
          <w:szCs w:val="22"/>
        </w:rPr>
      </w:pPr>
    </w:p>
    <w:p w:rsidR="00720A6B" w:rsidRPr="003B5B7D" w:rsidRDefault="00720A6B" w:rsidP="00720A6B">
      <w:pPr>
        <w:spacing w:after="120"/>
        <w:rPr>
          <w:rFonts w:cs="Arial"/>
          <w:noProof/>
          <w:sz w:val="22"/>
          <w:szCs w:val="22"/>
        </w:rPr>
      </w:pPr>
      <w:r w:rsidRPr="003B5B7D">
        <w:rPr>
          <w:rFonts w:cs="Arial"/>
          <w:noProof/>
          <w:sz w:val="22"/>
          <w:szCs w:val="22"/>
        </w:rPr>
        <w:t>Ta uredba začne veljati naslednji dan po objavi v Uradnem listu Republike Slovenije.</w:t>
      </w:r>
    </w:p>
    <w:p w:rsidR="00720A6B" w:rsidRPr="003B5B7D" w:rsidRDefault="00720A6B" w:rsidP="00720A6B">
      <w:pPr>
        <w:spacing w:after="120"/>
        <w:ind w:left="360"/>
        <w:rPr>
          <w:rFonts w:cs="Arial"/>
          <w:noProof/>
          <w:sz w:val="22"/>
          <w:szCs w:val="22"/>
        </w:rPr>
      </w:pPr>
    </w:p>
    <w:p w:rsidR="00720A6B" w:rsidRPr="003B5B7D" w:rsidRDefault="00720A6B" w:rsidP="00720A6B">
      <w:pPr>
        <w:spacing w:after="120"/>
        <w:ind w:left="360"/>
        <w:rPr>
          <w:rFonts w:cs="Arial"/>
          <w:noProof/>
          <w:sz w:val="22"/>
          <w:szCs w:val="22"/>
        </w:rPr>
      </w:pPr>
    </w:p>
    <w:p w:rsidR="00720A6B" w:rsidRPr="003B5B7D" w:rsidRDefault="00720A6B" w:rsidP="00720A6B">
      <w:pPr>
        <w:rPr>
          <w:rFonts w:cs="Arial"/>
          <w:noProof/>
          <w:sz w:val="22"/>
          <w:szCs w:val="22"/>
        </w:rPr>
      </w:pPr>
      <w:r w:rsidRPr="003B5B7D">
        <w:rPr>
          <w:rFonts w:cs="Arial"/>
          <w:noProof/>
          <w:sz w:val="22"/>
          <w:szCs w:val="22"/>
        </w:rPr>
        <w:t xml:space="preserve">Št. </w:t>
      </w:r>
    </w:p>
    <w:p w:rsidR="00720A6B" w:rsidRPr="003B5B7D" w:rsidRDefault="00720A6B" w:rsidP="00720A6B">
      <w:pPr>
        <w:rPr>
          <w:rFonts w:cs="Arial"/>
          <w:noProof/>
          <w:sz w:val="22"/>
          <w:szCs w:val="22"/>
        </w:rPr>
      </w:pPr>
      <w:r w:rsidRPr="003B5B7D">
        <w:rPr>
          <w:rFonts w:cs="Arial"/>
          <w:noProof/>
          <w:sz w:val="22"/>
          <w:szCs w:val="22"/>
        </w:rPr>
        <w:t xml:space="preserve">Ljubljana, dne </w:t>
      </w:r>
    </w:p>
    <w:p w:rsidR="00720A6B" w:rsidRPr="003B5B7D" w:rsidRDefault="00720A6B" w:rsidP="00720A6B">
      <w:pPr>
        <w:spacing w:after="120"/>
        <w:rPr>
          <w:rFonts w:cs="Arial"/>
          <w:noProof/>
          <w:sz w:val="22"/>
          <w:szCs w:val="22"/>
        </w:rPr>
      </w:pPr>
      <w:r w:rsidRPr="003B5B7D">
        <w:rPr>
          <w:rFonts w:cs="Arial"/>
          <w:noProof/>
          <w:sz w:val="22"/>
          <w:szCs w:val="22"/>
        </w:rPr>
        <w:t xml:space="preserve">EVA </w:t>
      </w:r>
      <w:r w:rsidR="0026207F" w:rsidRPr="0026207F">
        <w:rPr>
          <w:rFonts w:cs="Arial"/>
          <w:noProof/>
          <w:sz w:val="22"/>
          <w:szCs w:val="22"/>
        </w:rPr>
        <w:t>2016-2550-0090</w:t>
      </w:r>
    </w:p>
    <w:p w:rsidR="00720A6B" w:rsidRPr="003B5B7D" w:rsidRDefault="00720A6B" w:rsidP="00720A6B">
      <w:pPr>
        <w:spacing w:after="120"/>
        <w:ind w:left="3192" w:firstLine="348"/>
        <w:jc w:val="center"/>
        <w:rPr>
          <w:rFonts w:cs="Arial"/>
          <w:b/>
          <w:noProof/>
          <w:sz w:val="22"/>
          <w:szCs w:val="22"/>
        </w:rPr>
      </w:pPr>
      <w:r w:rsidRPr="003B5B7D">
        <w:rPr>
          <w:rFonts w:cs="Arial"/>
          <w:b/>
          <w:noProof/>
          <w:sz w:val="22"/>
          <w:szCs w:val="22"/>
        </w:rPr>
        <w:t>Vlada Republike Slovenije</w:t>
      </w:r>
    </w:p>
    <w:p w:rsidR="00720A6B" w:rsidRPr="003B5B7D" w:rsidRDefault="00720A6B" w:rsidP="00720A6B">
      <w:pPr>
        <w:ind w:left="2844" w:firstLine="348"/>
        <w:jc w:val="center"/>
        <w:rPr>
          <w:rFonts w:cs="Arial"/>
          <w:noProof/>
          <w:sz w:val="22"/>
          <w:szCs w:val="22"/>
        </w:rPr>
      </w:pPr>
      <w:r w:rsidRPr="003B5B7D">
        <w:rPr>
          <w:rFonts w:cs="Arial"/>
          <w:noProof/>
          <w:sz w:val="22"/>
          <w:szCs w:val="22"/>
        </w:rPr>
        <w:t xml:space="preserve">       dr. Miro Cerar l.r.</w:t>
      </w:r>
    </w:p>
    <w:p w:rsidR="00720A6B" w:rsidRPr="003B5B7D" w:rsidRDefault="00720A6B" w:rsidP="00720A6B">
      <w:pPr>
        <w:rPr>
          <w:rFonts w:cs="Arial"/>
          <w:b/>
          <w:sz w:val="22"/>
          <w:szCs w:val="22"/>
        </w:rPr>
      </w:pPr>
      <w:r w:rsidRPr="003B5B7D">
        <w:rPr>
          <w:rFonts w:cs="Arial"/>
          <w:noProof/>
          <w:sz w:val="22"/>
          <w:szCs w:val="22"/>
        </w:rPr>
        <w:t xml:space="preserve">               </w:t>
      </w:r>
      <w:r w:rsidRPr="003B5B7D">
        <w:rPr>
          <w:rFonts w:cs="Arial"/>
          <w:noProof/>
          <w:sz w:val="22"/>
          <w:szCs w:val="22"/>
        </w:rPr>
        <w:tab/>
      </w:r>
      <w:r w:rsidRPr="003B5B7D">
        <w:rPr>
          <w:rFonts w:cs="Arial"/>
          <w:noProof/>
          <w:sz w:val="22"/>
          <w:szCs w:val="22"/>
        </w:rPr>
        <w:tab/>
      </w:r>
      <w:r w:rsidRPr="003B5B7D">
        <w:rPr>
          <w:rFonts w:cs="Arial"/>
          <w:noProof/>
          <w:sz w:val="22"/>
          <w:szCs w:val="22"/>
        </w:rPr>
        <w:tab/>
      </w:r>
      <w:r w:rsidRPr="003B5B7D">
        <w:rPr>
          <w:rFonts w:cs="Arial"/>
          <w:noProof/>
          <w:sz w:val="22"/>
          <w:szCs w:val="22"/>
        </w:rPr>
        <w:tab/>
      </w:r>
      <w:r w:rsidRPr="003B5B7D">
        <w:rPr>
          <w:rFonts w:cs="Arial"/>
          <w:noProof/>
          <w:sz w:val="22"/>
          <w:szCs w:val="22"/>
        </w:rPr>
        <w:tab/>
      </w:r>
      <w:r w:rsidRPr="003B5B7D">
        <w:rPr>
          <w:rFonts w:cs="Arial"/>
          <w:noProof/>
          <w:sz w:val="22"/>
          <w:szCs w:val="22"/>
        </w:rPr>
        <w:tab/>
        <w:t xml:space="preserve">              Predsednik</w:t>
      </w:r>
    </w:p>
    <w:p w:rsidR="00F7618F" w:rsidRDefault="00F7618F"/>
    <w:sectPr w:rsidR="00F761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1D9" w:rsidRDefault="000141D9" w:rsidP="0026207F">
      <w:pPr>
        <w:spacing w:line="240" w:lineRule="auto"/>
      </w:pPr>
      <w:r>
        <w:separator/>
      </w:r>
    </w:p>
  </w:endnote>
  <w:endnote w:type="continuationSeparator" w:id="0">
    <w:p w:rsidR="000141D9" w:rsidRDefault="000141D9" w:rsidP="00262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1D9" w:rsidRDefault="000141D9" w:rsidP="0026207F">
      <w:pPr>
        <w:spacing w:line="240" w:lineRule="auto"/>
      </w:pPr>
      <w:r>
        <w:separator/>
      </w:r>
    </w:p>
  </w:footnote>
  <w:footnote w:type="continuationSeparator" w:id="0">
    <w:p w:rsidR="000141D9" w:rsidRDefault="000141D9" w:rsidP="002620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7F" w:rsidRPr="0026207F" w:rsidRDefault="0026207F">
    <w:pPr>
      <w:pStyle w:val="Glava"/>
      <w:rPr>
        <w:i/>
      </w:rPr>
    </w:pPr>
    <w:r>
      <w:tab/>
    </w:r>
    <w:r>
      <w:tab/>
    </w:r>
    <w:r w:rsidRPr="0026207F">
      <w:rPr>
        <w:i/>
      </w:rPr>
      <w:t>O S N U T E K!</w:t>
    </w:r>
  </w:p>
  <w:p w:rsidR="0026207F" w:rsidRDefault="0026207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7EA"/>
    <w:multiLevelType w:val="hybridMultilevel"/>
    <w:tmpl w:val="7158B860"/>
    <w:lvl w:ilvl="0" w:tplc="EF784E90">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46AA272E"/>
    <w:multiLevelType w:val="hybridMultilevel"/>
    <w:tmpl w:val="85465134"/>
    <w:lvl w:ilvl="0" w:tplc="94F0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34DD2"/>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6B"/>
    <w:rsid w:val="000141D9"/>
    <w:rsid w:val="000F341A"/>
    <w:rsid w:val="0026207F"/>
    <w:rsid w:val="00720A6B"/>
    <w:rsid w:val="00A85863"/>
    <w:rsid w:val="00CA5E1B"/>
    <w:rsid w:val="00D04401"/>
    <w:rsid w:val="00F761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0A6B"/>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720A6B"/>
    <w:pPr>
      <w:spacing w:line="240" w:lineRule="auto"/>
      <w:jc w:val="both"/>
    </w:pPr>
    <w:rPr>
      <w:rFonts w:ascii="Times New Roman" w:hAnsi="Times New Roman"/>
      <w:b/>
      <w:bCs/>
      <w:sz w:val="24"/>
      <w:szCs w:val="20"/>
      <w:lang w:eastAsia="sl-SI"/>
    </w:rPr>
  </w:style>
  <w:style w:type="character" w:customStyle="1" w:styleId="TelobesedilaZnak">
    <w:name w:val="Telo besedila Znak"/>
    <w:aliases w:val=" Znak Znak Znak Znak"/>
    <w:basedOn w:val="Privzetapisavaodstavka"/>
    <w:link w:val="Telobesedila"/>
    <w:rsid w:val="00720A6B"/>
    <w:rPr>
      <w:rFonts w:ascii="Times New Roman" w:eastAsia="Times New Roman" w:hAnsi="Times New Roman" w:cs="Times New Roman"/>
      <w:b/>
      <w:bCs/>
      <w:sz w:val="24"/>
      <w:szCs w:val="20"/>
      <w:lang w:eastAsia="sl-SI"/>
    </w:rPr>
  </w:style>
  <w:style w:type="paragraph" w:styleId="Odstavekseznama">
    <w:name w:val="List Paragraph"/>
    <w:basedOn w:val="Navaden"/>
    <w:uiPriority w:val="34"/>
    <w:qFormat/>
    <w:rsid w:val="00720A6B"/>
    <w:pPr>
      <w:spacing w:line="240" w:lineRule="auto"/>
      <w:ind w:left="720"/>
      <w:contextualSpacing/>
      <w:jc w:val="both"/>
    </w:pPr>
    <w:rPr>
      <w:rFonts w:ascii="Times New Roman" w:hAnsi="Times New Roman"/>
      <w:sz w:val="22"/>
      <w:szCs w:val="20"/>
      <w:lang w:eastAsia="sl-SI"/>
    </w:rPr>
  </w:style>
  <w:style w:type="paragraph" w:styleId="Glava">
    <w:name w:val="header"/>
    <w:basedOn w:val="Navaden"/>
    <w:link w:val="GlavaZnak"/>
    <w:uiPriority w:val="99"/>
    <w:unhideWhenUsed/>
    <w:rsid w:val="0026207F"/>
    <w:pPr>
      <w:tabs>
        <w:tab w:val="center" w:pos="4536"/>
        <w:tab w:val="right" w:pos="9072"/>
      </w:tabs>
      <w:spacing w:line="240" w:lineRule="auto"/>
    </w:pPr>
  </w:style>
  <w:style w:type="character" w:customStyle="1" w:styleId="GlavaZnak">
    <w:name w:val="Glava Znak"/>
    <w:basedOn w:val="Privzetapisavaodstavka"/>
    <w:link w:val="Glava"/>
    <w:uiPriority w:val="99"/>
    <w:rsid w:val="0026207F"/>
    <w:rPr>
      <w:rFonts w:ascii="Arial" w:eastAsia="Times New Roman" w:hAnsi="Arial" w:cs="Times New Roman"/>
      <w:sz w:val="20"/>
      <w:szCs w:val="24"/>
    </w:rPr>
  </w:style>
  <w:style w:type="paragraph" w:styleId="Noga">
    <w:name w:val="footer"/>
    <w:basedOn w:val="Navaden"/>
    <w:link w:val="NogaZnak"/>
    <w:uiPriority w:val="99"/>
    <w:unhideWhenUsed/>
    <w:rsid w:val="0026207F"/>
    <w:pPr>
      <w:tabs>
        <w:tab w:val="center" w:pos="4536"/>
        <w:tab w:val="right" w:pos="9072"/>
      </w:tabs>
      <w:spacing w:line="240" w:lineRule="auto"/>
    </w:pPr>
  </w:style>
  <w:style w:type="character" w:customStyle="1" w:styleId="NogaZnak">
    <w:name w:val="Noga Znak"/>
    <w:basedOn w:val="Privzetapisavaodstavka"/>
    <w:link w:val="Noga"/>
    <w:uiPriority w:val="99"/>
    <w:rsid w:val="0026207F"/>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26207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20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0A6B"/>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720A6B"/>
    <w:pPr>
      <w:spacing w:line="240" w:lineRule="auto"/>
      <w:jc w:val="both"/>
    </w:pPr>
    <w:rPr>
      <w:rFonts w:ascii="Times New Roman" w:hAnsi="Times New Roman"/>
      <w:b/>
      <w:bCs/>
      <w:sz w:val="24"/>
      <w:szCs w:val="20"/>
      <w:lang w:eastAsia="sl-SI"/>
    </w:rPr>
  </w:style>
  <w:style w:type="character" w:customStyle="1" w:styleId="TelobesedilaZnak">
    <w:name w:val="Telo besedila Znak"/>
    <w:aliases w:val=" Znak Znak Znak Znak"/>
    <w:basedOn w:val="Privzetapisavaodstavka"/>
    <w:link w:val="Telobesedila"/>
    <w:rsid w:val="00720A6B"/>
    <w:rPr>
      <w:rFonts w:ascii="Times New Roman" w:eastAsia="Times New Roman" w:hAnsi="Times New Roman" w:cs="Times New Roman"/>
      <w:b/>
      <w:bCs/>
      <w:sz w:val="24"/>
      <w:szCs w:val="20"/>
      <w:lang w:eastAsia="sl-SI"/>
    </w:rPr>
  </w:style>
  <w:style w:type="paragraph" w:styleId="Odstavekseznama">
    <w:name w:val="List Paragraph"/>
    <w:basedOn w:val="Navaden"/>
    <w:uiPriority w:val="34"/>
    <w:qFormat/>
    <w:rsid w:val="00720A6B"/>
    <w:pPr>
      <w:spacing w:line="240" w:lineRule="auto"/>
      <w:ind w:left="720"/>
      <w:contextualSpacing/>
      <w:jc w:val="both"/>
    </w:pPr>
    <w:rPr>
      <w:rFonts w:ascii="Times New Roman" w:hAnsi="Times New Roman"/>
      <w:sz w:val="22"/>
      <w:szCs w:val="20"/>
      <w:lang w:eastAsia="sl-SI"/>
    </w:rPr>
  </w:style>
  <w:style w:type="paragraph" w:styleId="Glava">
    <w:name w:val="header"/>
    <w:basedOn w:val="Navaden"/>
    <w:link w:val="GlavaZnak"/>
    <w:uiPriority w:val="99"/>
    <w:unhideWhenUsed/>
    <w:rsid w:val="0026207F"/>
    <w:pPr>
      <w:tabs>
        <w:tab w:val="center" w:pos="4536"/>
        <w:tab w:val="right" w:pos="9072"/>
      </w:tabs>
      <w:spacing w:line="240" w:lineRule="auto"/>
    </w:pPr>
  </w:style>
  <w:style w:type="character" w:customStyle="1" w:styleId="GlavaZnak">
    <w:name w:val="Glava Znak"/>
    <w:basedOn w:val="Privzetapisavaodstavka"/>
    <w:link w:val="Glava"/>
    <w:uiPriority w:val="99"/>
    <w:rsid w:val="0026207F"/>
    <w:rPr>
      <w:rFonts w:ascii="Arial" w:eastAsia="Times New Roman" w:hAnsi="Arial" w:cs="Times New Roman"/>
      <w:sz w:val="20"/>
      <w:szCs w:val="24"/>
    </w:rPr>
  </w:style>
  <w:style w:type="paragraph" w:styleId="Noga">
    <w:name w:val="footer"/>
    <w:basedOn w:val="Navaden"/>
    <w:link w:val="NogaZnak"/>
    <w:uiPriority w:val="99"/>
    <w:unhideWhenUsed/>
    <w:rsid w:val="0026207F"/>
    <w:pPr>
      <w:tabs>
        <w:tab w:val="center" w:pos="4536"/>
        <w:tab w:val="right" w:pos="9072"/>
      </w:tabs>
      <w:spacing w:line="240" w:lineRule="auto"/>
    </w:pPr>
  </w:style>
  <w:style w:type="character" w:customStyle="1" w:styleId="NogaZnak">
    <w:name w:val="Noga Znak"/>
    <w:basedOn w:val="Privzetapisavaodstavka"/>
    <w:link w:val="Noga"/>
    <w:uiPriority w:val="99"/>
    <w:rsid w:val="0026207F"/>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26207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20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8943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Alenka.Manfreda</dc:creator>
  <cp:lastModifiedBy>barbara</cp:lastModifiedBy>
  <cp:revision>2</cp:revision>
  <dcterms:created xsi:type="dcterms:W3CDTF">2016-06-10T09:02:00Z</dcterms:created>
  <dcterms:modified xsi:type="dcterms:W3CDTF">2016-06-10T09:02:00Z</dcterms:modified>
</cp:coreProperties>
</file>