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B86" w:rsidRPr="00E92049" w:rsidRDefault="00873B86" w:rsidP="00873B86">
      <w:pPr>
        <w:rPr>
          <w:rFonts w:cs="Arial"/>
          <w:b/>
          <w:szCs w:val="20"/>
        </w:rPr>
      </w:pPr>
      <w:r w:rsidRPr="00E92049">
        <w:rPr>
          <w:rFonts w:cs="Arial"/>
          <w:b/>
          <w:szCs w:val="20"/>
        </w:rPr>
        <w:t>Objava osnutka predpisa v svetovnem spletu:</w:t>
      </w:r>
    </w:p>
    <w:p w:rsidR="00873B86" w:rsidRPr="00E92049" w:rsidRDefault="00873B86" w:rsidP="00873B86">
      <w:pPr>
        <w:rPr>
          <w:rFonts w:cs="Arial"/>
          <w:szCs w:val="20"/>
        </w:rPr>
      </w:pPr>
    </w:p>
    <w:p w:rsidR="00873B86" w:rsidRPr="00E92049" w:rsidRDefault="00873B86" w:rsidP="00873B86">
      <w:pPr>
        <w:rPr>
          <w:rFonts w:cs="Arial"/>
          <w:szCs w:val="20"/>
        </w:rPr>
      </w:pPr>
    </w:p>
    <w:p w:rsidR="00873B86" w:rsidRPr="00E92049" w:rsidRDefault="00873B86" w:rsidP="00873B86">
      <w:pPr>
        <w:rPr>
          <w:rFonts w:cs="Arial"/>
          <w:szCs w:val="20"/>
          <w:u w:val="single"/>
        </w:rPr>
      </w:pPr>
      <w:r w:rsidRPr="00E92049">
        <w:rPr>
          <w:rFonts w:cs="Arial"/>
          <w:szCs w:val="20"/>
          <w:u w:val="single"/>
        </w:rPr>
        <w:t xml:space="preserve">Ime predpisa: </w:t>
      </w:r>
    </w:p>
    <w:p w:rsidR="00873B86" w:rsidRPr="00E92049" w:rsidRDefault="00873B86" w:rsidP="00873B86">
      <w:pPr>
        <w:rPr>
          <w:rFonts w:cs="Arial"/>
          <w:szCs w:val="20"/>
        </w:rPr>
      </w:pPr>
      <w:bookmarkStart w:id="0" w:name="_GoBack"/>
      <w:r>
        <w:rPr>
          <w:rFonts w:cs="Arial"/>
          <w:szCs w:val="20"/>
        </w:rPr>
        <w:t xml:space="preserve">Uredba </w:t>
      </w:r>
      <w:r w:rsidRPr="0079203A">
        <w:rPr>
          <w:rFonts w:cs="Arial"/>
          <w:szCs w:val="20"/>
        </w:rPr>
        <w:t xml:space="preserve">o </w:t>
      </w:r>
      <w:r w:rsidR="009770CF">
        <w:rPr>
          <w:rFonts w:cs="Arial"/>
          <w:szCs w:val="20"/>
        </w:rPr>
        <w:t>spremembah in dopolnitvah Uredbe o podrobnejši vsebini in načinu priprave načrta upravljanja voda</w:t>
      </w:r>
    </w:p>
    <w:bookmarkEnd w:id="0"/>
    <w:p w:rsidR="00873B86" w:rsidRDefault="00873B86" w:rsidP="00873B86">
      <w:pPr>
        <w:rPr>
          <w:rFonts w:cs="Arial"/>
          <w:szCs w:val="20"/>
        </w:rPr>
      </w:pPr>
    </w:p>
    <w:p w:rsidR="009770CF" w:rsidRPr="00E92049" w:rsidRDefault="009770CF" w:rsidP="00873B86">
      <w:pPr>
        <w:rPr>
          <w:rFonts w:cs="Arial"/>
          <w:szCs w:val="20"/>
        </w:rPr>
      </w:pPr>
    </w:p>
    <w:p w:rsidR="00873B86" w:rsidRPr="00E92049" w:rsidRDefault="00873B86" w:rsidP="00873B86">
      <w:pPr>
        <w:spacing w:line="240" w:lineRule="atLeast"/>
        <w:rPr>
          <w:rFonts w:cs="Arial"/>
          <w:szCs w:val="20"/>
          <w:u w:val="single"/>
        </w:rPr>
      </w:pPr>
      <w:r w:rsidRPr="00E92049">
        <w:rPr>
          <w:rFonts w:cs="Arial"/>
          <w:szCs w:val="20"/>
          <w:u w:val="single"/>
        </w:rPr>
        <w:t xml:space="preserve">Št. zadeve: </w:t>
      </w:r>
    </w:p>
    <w:p w:rsidR="00873B86" w:rsidRDefault="00873B86" w:rsidP="00873B86">
      <w:pPr>
        <w:spacing w:line="240" w:lineRule="atLeast"/>
        <w:rPr>
          <w:rFonts w:cs="Arial"/>
        </w:rPr>
      </w:pPr>
      <w:r>
        <w:rPr>
          <w:rFonts w:cs="Arial"/>
        </w:rPr>
        <w:t>007-167/2016</w:t>
      </w:r>
    </w:p>
    <w:p w:rsidR="00873B86" w:rsidRPr="00E92049" w:rsidRDefault="00873B86" w:rsidP="00873B86">
      <w:pPr>
        <w:spacing w:line="240" w:lineRule="atLeast"/>
        <w:rPr>
          <w:rFonts w:cs="Arial"/>
          <w:szCs w:val="20"/>
        </w:rPr>
      </w:pPr>
    </w:p>
    <w:p w:rsidR="00873B86" w:rsidRPr="00E92049" w:rsidRDefault="00873B86" w:rsidP="00873B86">
      <w:pPr>
        <w:spacing w:line="240" w:lineRule="atLeast"/>
        <w:rPr>
          <w:rFonts w:cs="Arial"/>
          <w:szCs w:val="20"/>
        </w:rPr>
      </w:pPr>
    </w:p>
    <w:p w:rsidR="00873B86" w:rsidRPr="00E92049" w:rsidRDefault="00873B86" w:rsidP="00873B86">
      <w:pPr>
        <w:spacing w:line="240" w:lineRule="atLeast"/>
        <w:rPr>
          <w:rFonts w:cs="Arial"/>
          <w:szCs w:val="20"/>
          <w:u w:val="single"/>
        </w:rPr>
      </w:pPr>
      <w:r w:rsidRPr="00E92049">
        <w:rPr>
          <w:rFonts w:cs="Arial"/>
          <w:szCs w:val="20"/>
          <w:u w:val="single"/>
        </w:rPr>
        <w:t xml:space="preserve">Datum objave: </w:t>
      </w:r>
    </w:p>
    <w:p w:rsidR="00873B86" w:rsidRPr="00ED0460" w:rsidRDefault="00873B86" w:rsidP="00873B86">
      <w:pPr>
        <w:spacing w:line="240" w:lineRule="atLeast"/>
        <w:rPr>
          <w:rFonts w:cs="Arial"/>
          <w:szCs w:val="20"/>
        </w:rPr>
      </w:pPr>
      <w:r>
        <w:rPr>
          <w:rFonts w:cs="Arial"/>
          <w:szCs w:val="20"/>
        </w:rPr>
        <w:t>25. oktober 2016</w:t>
      </w:r>
    </w:p>
    <w:p w:rsidR="00873B86" w:rsidRPr="00ED0460" w:rsidRDefault="00873B86" w:rsidP="00873B86">
      <w:pPr>
        <w:spacing w:line="240" w:lineRule="atLeast"/>
        <w:rPr>
          <w:rFonts w:cs="Arial"/>
          <w:szCs w:val="20"/>
        </w:rPr>
      </w:pPr>
    </w:p>
    <w:p w:rsidR="00873B86" w:rsidRPr="00ED0460" w:rsidRDefault="00873B86" w:rsidP="00873B86">
      <w:pPr>
        <w:spacing w:line="240" w:lineRule="atLeast"/>
        <w:rPr>
          <w:rFonts w:cs="Arial"/>
          <w:szCs w:val="20"/>
        </w:rPr>
      </w:pPr>
    </w:p>
    <w:p w:rsidR="00873B86" w:rsidRPr="00ED0460" w:rsidRDefault="00873B86" w:rsidP="00873B86">
      <w:pPr>
        <w:spacing w:line="240" w:lineRule="atLeast"/>
        <w:rPr>
          <w:rFonts w:cs="Arial"/>
          <w:szCs w:val="20"/>
          <w:u w:val="single"/>
        </w:rPr>
      </w:pPr>
      <w:r w:rsidRPr="00ED0460">
        <w:rPr>
          <w:rFonts w:cs="Arial"/>
          <w:szCs w:val="20"/>
          <w:u w:val="single"/>
        </w:rPr>
        <w:t xml:space="preserve">Rok za sprejem mnenj in pripomb: </w:t>
      </w:r>
    </w:p>
    <w:p w:rsidR="00873B86" w:rsidRDefault="004A28B7" w:rsidP="00873B86">
      <w:pPr>
        <w:spacing w:line="240" w:lineRule="atLeast"/>
        <w:rPr>
          <w:rFonts w:cs="Arial"/>
          <w:szCs w:val="20"/>
        </w:rPr>
      </w:pPr>
      <w:r>
        <w:rPr>
          <w:rFonts w:cs="Arial"/>
          <w:szCs w:val="20"/>
        </w:rPr>
        <w:t>9. november 2016</w:t>
      </w:r>
    </w:p>
    <w:p w:rsidR="004A28B7" w:rsidRPr="00ED0460" w:rsidRDefault="004A28B7" w:rsidP="00873B86">
      <w:pPr>
        <w:spacing w:line="240" w:lineRule="atLeast"/>
        <w:rPr>
          <w:rFonts w:cs="Arial"/>
          <w:szCs w:val="20"/>
        </w:rPr>
      </w:pPr>
    </w:p>
    <w:p w:rsidR="00873B86" w:rsidRPr="00ED0460" w:rsidRDefault="00873B86" w:rsidP="00873B86">
      <w:pPr>
        <w:spacing w:line="240" w:lineRule="atLeast"/>
        <w:rPr>
          <w:rFonts w:cs="Arial"/>
          <w:szCs w:val="20"/>
        </w:rPr>
      </w:pPr>
    </w:p>
    <w:p w:rsidR="00873B86" w:rsidRPr="00E92049" w:rsidRDefault="00873B86" w:rsidP="00873B86">
      <w:pPr>
        <w:spacing w:line="240" w:lineRule="atLeast"/>
        <w:rPr>
          <w:rFonts w:cs="Arial"/>
          <w:szCs w:val="20"/>
          <w:u w:val="single"/>
        </w:rPr>
      </w:pPr>
      <w:r w:rsidRPr="00E92049">
        <w:rPr>
          <w:rFonts w:cs="Arial"/>
          <w:szCs w:val="20"/>
          <w:u w:val="single"/>
        </w:rPr>
        <w:t xml:space="preserve">Ime odgovorne osebe in e-naslov: </w:t>
      </w:r>
    </w:p>
    <w:p w:rsidR="00873B86" w:rsidRPr="00E92049" w:rsidRDefault="00873B86" w:rsidP="00873B86">
      <w:pPr>
        <w:spacing w:line="240" w:lineRule="atLeast"/>
        <w:rPr>
          <w:rFonts w:cs="Arial"/>
          <w:szCs w:val="20"/>
        </w:rPr>
      </w:pPr>
      <w:r w:rsidRPr="00E92049">
        <w:rPr>
          <w:rFonts w:cs="Arial"/>
          <w:szCs w:val="20"/>
        </w:rPr>
        <w:t xml:space="preserve">mag. Nataša Vodopivec, </w:t>
      </w:r>
      <w:hyperlink r:id="rId6" w:history="1">
        <w:r w:rsidRPr="00E92049">
          <w:rPr>
            <w:rStyle w:val="Hiperpovezava"/>
            <w:rFonts w:cs="Arial"/>
            <w:szCs w:val="20"/>
          </w:rPr>
          <w:t>gp.mop@gov.si</w:t>
        </w:r>
      </w:hyperlink>
    </w:p>
    <w:p w:rsidR="00780B2D" w:rsidRDefault="00780B2D">
      <w:pPr>
        <w:spacing w:after="200" w:line="276" w:lineRule="auto"/>
        <w:rPr>
          <w:rFonts w:cs="Arial"/>
          <w:szCs w:val="20"/>
        </w:rPr>
      </w:pPr>
    </w:p>
    <w:p w:rsidR="00780B2D" w:rsidRDefault="00780B2D">
      <w:pPr>
        <w:spacing w:after="200" w:line="276" w:lineRule="auto"/>
        <w:rPr>
          <w:rFonts w:cs="Arial"/>
          <w:szCs w:val="20"/>
        </w:rPr>
      </w:pPr>
    </w:p>
    <w:p w:rsidR="00780B2D" w:rsidRDefault="00780B2D">
      <w:pPr>
        <w:spacing w:after="200" w:line="276" w:lineRule="auto"/>
        <w:rPr>
          <w:rFonts w:cs="Arial"/>
          <w:szCs w:val="20"/>
        </w:rPr>
      </w:pPr>
      <w:r>
        <w:rPr>
          <w:rFonts w:cs="Arial"/>
          <w:szCs w:val="20"/>
        </w:rPr>
        <w:br w:type="page"/>
      </w:r>
    </w:p>
    <w:p w:rsidR="00780B2D" w:rsidRDefault="00780B2D" w:rsidP="00780B2D">
      <w:pPr>
        <w:jc w:val="center"/>
        <w:rPr>
          <w:rFonts w:cs="Arial"/>
          <w:szCs w:val="20"/>
        </w:rPr>
      </w:pPr>
      <w:r>
        <w:rPr>
          <w:rFonts w:cs="Arial"/>
          <w:szCs w:val="20"/>
        </w:rPr>
        <w:lastRenderedPageBreak/>
        <w:t>OBRAZLOŽITEV</w:t>
      </w:r>
    </w:p>
    <w:p w:rsidR="00780B2D" w:rsidRDefault="00780B2D" w:rsidP="00780B2D">
      <w:pPr>
        <w:jc w:val="both"/>
        <w:rPr>
          <w:rFonts w:cs="Arial"/>
          <w:szCs w:val="20"/>
        </w:rPr>
      </w:pPr>
    </w:p>
    <w:p w:rsidR="00780B2D" w:rsidRDefault="00780B2D" w:rsidP="00780B2D">
      <w:pPr>
        <w:jc w:val="both"/>
        <w:rPr>
          <w:rFonts w:cs="Arial"/>
          <w:szCs w:val="20"/>
        </w:rPr>
      </w:pPr>
      <w:r>
        <w:rPr>
          <w:rFonts w:cs="Arial"/>
          <w:szCs w:val="20"/>
        </w:rPr>
        <w:t xml:space="preserve">S spremembo uredbe se spremeni in uskladi besedilo </w:t>
      </w:r>
      <w:proofErr w:type="spellStart"/>
      <w:r>
        <w:rPr>
          <w:rFonts w:cs="Arial"/>
          <w:szCs w:val="20"/>
        </w:rPr>
        <w:t>15.a</w:t>
      </w:r>
      <w:proofErr w:type="spellEnd"/>
      <w:r>
        <w:rPr>
          <w:rFonts w:cs="Arial"/>
          <w:szCs w:val="20"/>
        </w:rPr>
        <w:t xml:space="preserve"> in 20. člena Uredbe o podrobnejši vsebini in načinu priprave načrta upravljanja voda, s čimer se v slovenski pravi red prenaša Del C Priloge k Direktivi Komisije 2014/80/EU z dne 20. junij 2014 o spremembi Priloge II k Direktivi 2006/118/ES Evropskega parlamenta in Sveta o varstvu podzemne vode pred onesnaženjem in poslabšanjem.</w:t>
      </w:r>
    </w:p>
    <w:p w:rsidR="00780B2D" w:rsidRDefault="00780B2D" w:rsidP="00780B2D">
      <w:pPr>
        <w:jc w:val="both"/>
        <w:rPr>
          <w:rFonts w:cs="Arial"/>
          <w:szCs w:val="20"/>
        </w:rPr>
      </w:pPr>
    </w:p>
    <w:p w:rsidR="00780B2D" w:rsidRDefault="00780B2D" w:rsidP="00780B2D">
      <w:pPr>
        <w:tabs>
          <w:tab w:val="left" w:pos="6154"/>
        </w:tabs>
        <w:jc w:val="both"/>
        <w:rPr>
          <w:rFonts w:cs="Arial"/>
          <w:szCs w:val="20"/>
        </w:rPr>
      </w:pPr>
      <w:r>
        <w:t>V predlog sprememb in dopolnitev uredbe so vključene tudi dodatne spremembe, ki</w:t>
      </w:r>
      <w:r>
        <w:rPr>
          <w:rFonts w:cs="Arial"/>
          <w:szCs w:val="20"/>
        </w:rPr>
        <w:t xml:space="preserve"> izhajajo iz zahtev Direktive 2013/39/EU Evropskega parlamenta in Sveta z dne 12. avgusta 2013 o spremembi direktiv 2000/60/ES in 2008/105/ES v zvezi s prednostnimi snovmi na področju vodne politike in se nanašajo na vsebino načrtov upravljanja voda. Tako se v 19. členu dodata nova četrti in peti odstavek v zvezi s prikazom ocene kemijskega stanja površinskih voda za določene snovi, dosedanji četrti odstavek pa postane šesti odstavek, doda se nov </w:t>
      </w:r>
      <w:proofErr w:type="spellStart"/>
      <w:r>
        <w:rPr>
          <w:rFonts w:cs="Arial"/>
          <w:szCs w:val="20"/>
        </w:rPr>
        <w:t>29.c</w:t>
      </w:r>
      <w:proofErr w:type="spellEnd"/>
      <w:r>
        <w:rPr>
          <w:rFonts w:cs="Arial"/>
          <w:szCs w:val="20"/>
        </w:rPr>
        <w:t xml:space="preserve"> člen v zvezi s programom ukrepov za doseganje dobrega kemijskega stanja za določene snovi ter dopolni 40. člen v zvezi z informacijami, ki jih mora vključevati nov, spremenjen ali dopolnjen načrt upravljanja voda in se nanašajo na določene snovi iz Direktive 2013/39/ES. Določbe 42. člena v zvezi z objavo načrta upravljanja voda se uskladi z zahtevami za dostop do elektronske oblike načrta upravljanja voda. Doda se prehodne določbe, ki določajo roke za pripravo prvih programov ukrepov za določene snovi iz Direktive 2013/39/ES. </w:t>
      </w:r>
    </w:p>
    <w:p w:rsidR="00780B2D" w:rsidRDefault="00780B2D" w:rsidP="00780B2D">
      <w:pPr>
        <w:tabs>
          <w:tab w:val="left" w:pos="6154"/>
        </w:tabs>
        <w:jc w:val="both"/>
        <w:rPr>
          <w:rFonts w:cs="Arial"/>
          <w:szCs w:val="20"/>
        </w:rPr>
      </w:pPr>
    </w:p>
    <w:p w:rsidR="00780B2D" w:rsidRDefault="00780B2D" w:rsidP="00780B2D">
      <w:pPr>
        <w:tabs>
          <w:tab w:val="left" w:pos="6154"/>
        </w:tabs>
        <w:jc w:val="both"/>
      </w:pPr>
      <w:r>
        <w:t xml:space="preserve">Pri predlogu sprememb in dopolnitev uredbe gre za uskladitev slovenske zakonodaje z zahtevami zakonodaje EU na področju vsebine načrtov upravljanja voda. Hkrati se črtajo določbe, ki se nanašajo na postopke priprave načrtov upravljanja voda, niso predmet urejanja v zadevni uredbi in predstavljajo nepotrebno podvajanje določb druge zakonodaje. </w:t>
      </w:r>
      <w:r>
        <w:rPr>
          <w:rFonts w:cs="Arial"/>
          <w:iCs/>
        </w:rPr>
        <w:t xml:space="preserve"> </w:t>
      </w:r>
    </w:p>
    <w:p w:rsidR="00780B2D" w:rsidRDefault="00780B2D">
      <w:pPr>
        <w:spacing w:after="200" w:line="276" w:lineRule="auto"/>
        <w:rPr>
          <w:rFonts w:cs="Arial"/>
          <w:iCs/>
          <w:szCs w:val="20"/>
          <w:lang w:eastAsia="sl-SI"/>
        </w:rPr>
      </w:pPr>
      <w:r>
        <w:rPr>
          <w:rFonts w:cs="Arial"/>
          <w:iCs/>
        </w:rPr>
        <w:br w:type="page"/>
      </w:r>
    </w:p>
    <w:p w:rsidR="00232C89" w:rsidRDefault="00232C89" w:rsidP="00232C89">
      <w:pPr>
        <w:pStyle w:val="datumtevilka"/>
        <w:jc w:val="both"/>
        <w:rPr>
          <w:rFonts w:cs="Arial"/>
          <w:iCs/>
        </w:rPr>
      </w:pPr>
      <w:r>
        <w:rPr>
          <w:rFonts w:cs="Arial"/>
          <w:iCs/>
        </w:rPr>
        <w:lastRenderedPageBreak/>
        <w:t xml:space="preserve">Na podlagi petega odstavka 55. člena in za izvrševanje 60. člena Zakona o vodah (Uradni list RS, št. 67/02, 2/04 – ZZdrI-A, 41/04 – ZVO-1, 57/08, 57/12, 100/13, 40/14 in 56/15) </w:t>
      </w:r>
      <w:r>
        <w:rPr>
          <w:rFonts w:cs="Arial"/>
        </w:rPr>
        <w:t>izdaja Vlada Republike Slovenije</w:t>
      </w:r>
    </w:p>
    <w:p w:rsidR="00232C89" w:rsidRDefault="00232C89" w:rsidP="00232C89">
      <w:pPr>
        <w:pStyle w:val="datumtevilka"/>
        <w:rPr>
          <w:rFonts w:cs="Arial"/>
        </w:rPr>
      </w:pPr>
    </w:p>
    <w:p w:rsidR="00232C89" w:rsidRDefault="00232C89" w:rsidP="00232C89">
      <w:pPr>
        <w:pStyle w:val="datumtevilka"/>
        <w:jc w:val="center"/>
        <w:rPr>
          <w:rFonts w:cs="Arial"/>
          <w:b/>
        </w:rPr>
      </w:pPr>
      <w:r>
        <w:rPr>
          <w:rFonts w:cs="Arial"/>
          <w:b/>
        </w:rPr>
        <w:t>U R E D B O</w:t>
      </w:r>
    </w:p>
    <w:p w:rsidR="00232C89" w:rsidRDefault="00232C89" w:rsidP="00232C89">
      <w:pPr>
        <w:jc w:val="center"/>
        <w:rPr>
          <w:rFonts w:cs="Arial"/>
          <w:b/>
          <w:szCs w:val="20"/>
        </w:rPr>
      </w:pPr>
      <w:r>
        <w:rPr>
          <w:rFonts w:cs="Arial"/>
          <w:b/>
          <w:iCs/>
          <w:szCs w:val="20"/>
        </w:rPr>
        <w:t>o spremembah in dopolnitvah Uredbe o podrobnejši vsebini in načinu priprave načrta upravljanja voda</w:t>
      </w:r>
    </w:p>
    <w:p w:rsidR="00232C89" w:rsidRDefault="00232C89" w:rsidP="00232C89">
      <w:pPr>
        <w:jc w:val="center"/>
        <w:rPr>
          <w:rFonts w:cs="Arial"/>
          <w:szCs w:val="20"/>
        </w:rPr>
      </w:pPr>
    </w:p>
    <w:p w:rsidR="00232C89" w:rsidRDefault="00232C89" w:rsidP="00232C89">
      <w:pPr>
        <w:jc w:val="center"/>
        <w:rPr>
          <w:rFonts w:cs="Arial"/>
          <w:b/>
          <w:szCs w:val="20"/>
        </w:rPr>
      </w:pPr>
      <w:r>
        <w:rPr>
          <w:rFonts w:cs="Arial"/>
          <w:b/>
          <w:szCs w:val="20"/>
        </w:rPr>
        <w:t>1. člen</w:t>
      </w:r>
    </w:p>
    <w:p w:rsidR="00232C89" w:rsidRDefault="00232C89" w:rsidP="00232C89">
      <w:pPr>
        <w:jc w:val="center"/>
        <w:rPr>
          <w:rFonts w:cs="Arial"/>
          <w:szCs w:val="20"/>
        </w:rPr>
      </w:pPr>
    </w:p>
    <w:p w:rsidR="00232C89" w:rsidRDefault="00232C89" w:rsidP="00232C89">
      <w:pPr>
        <w:jc w:val="both"/>
        <w:rPr>
          <w:rFonts w:cs="Arial"/>
          <w:szCs w:val="20"/>
        </w:rPr>
      </w:pPr>
      <w:r>
        <w:rPr>
          <w:rFonts w:cs="Arial"/>
          <w:szCs w:val="20"/>
        </w:rPr>
        <w:t>V Uredbi o podrobnejši vsebini in načinu priprave načrta upravljanja voda (Uradni list RS, št. 26/06, 5/09 in 36/13) se prvi odstavek 1. člena spremeni tako, da se glasi:</w:t>
      </w:r>
    </w:p>
    <w:p w:rsidR="00232C89" w:rsidRDefault="00232C89" w:rsidP="00232C89">
      <w:pPr>
        <w:jc w:val="both"/>
        <w:rPr>
          <w:rFonts w:cs="Arial"/>
          <w:szCs w:val="20"/>
        </w:rPr>
      </w:pPr>
    </w:p>
    <w:p w:rsidR="00232C89" w:rsidRDefault="00232C89" w:rsidP="00232C89">
      <w:pPr>
        <w:jc w:val="both"/>
        <w:rPr>
          <w:rFonts w:cs="Arial"/>
          <w:szCs w:val="20"/>
        </w:rPr>
      </w:pPr>
      <w:r>
        <w:rPr>
          <w:rFonts w:cs="Arial"/>
          <w:szCs w:val="20"/>
        </w:rPr>
        <w:t>»(1) Ta uredba določa podrobnejšo vsebino, način priprave načrtov upravljanja voda in njihovo obliko v skladu z:</w:t>
      </w:r>
    </w:p>
    <w:p w:rsidR="00232C89" w:rsidRDefault="00232C89" w:rsidP="00232C89">
      <w:pPr>
        <w:jc w:val="both"/>
        <w:rPr>
          <w:rFonts w:cs="Arial"/>
          <w:szCs w:val="20"/>
        </w:rPr>
      </w:pPr>
      <w:r>
        <w:rPr>
          <w:rFonts w:cs="Arial"/>
          <w:szCs w:val="20"/>
        </w:rPr>
        <w:t>– Direktivo Evropskega parlamenta in Sveta 2000/60/ES z dne 23. oktobra 2000 o določitvi okvira za ukrepe Skupnosti na področju vodne politike (UL L št. 327 z dne 22. 12. 2000, str. 1), zadnjič spremenjeno z Direktivo Komisije 2014/101/EU z dne 30. oktobra 2014 o spremembi Direktive Evropskega parlamenta in Sveta 2000/60/ES o določitvi okvira za ukrepe Skupnosti na področju vodne politike (UL L št. 311 z dne 31. 10. 2014, str. 32),</w:t>
      </w:r>
    </w:p>
    <w:p w:rsidR="00232C89" w:rsidRDefault="00232C89" w:rsidP="00232C89">
      <w:pPr>
        <w:jc w:val="both"/>
        <w:rPr>
          <w:rFonts w:cs="Arial"/>
          <w:szCs w:val="20"/>
        </w:rPr>
      </w:pPr>
      <w:r>
        <w:rPr>
          <w:rFonts w:cs="Arial"/>
          <w:szCs w:val="20"/>
        </w:rPr>
        <w:t>– Direktivo 2006/118/ES Evropskega parlamenta in Sveta z dne 12. decembra 2006 o varstvu podzemne vode pred onesnaževanjem in poslabšanjem (UL L št. 372 z dne 27. 12. 2006, str. 19), zadnjič spremenjeno z Direktivo Komisije 2014/80/EU z dne 20. junija 2014 o spremembi Priloge II k Direktivi 2006/118/ES Evropskega parlamenta in Sveta o varstvu podzemne vode pred onesnaževanjem in poslabšanjem (UL L št. 182 z dne 21. 6. 2014, str. 52) in</w:t>
      </w:r>
    </w:p>
    <w:p w:rsidR="00232C89" w:rsidRDefault="00232C89" w:rsidP="00232C89">
      <w:pPr>
        <w:jc w:val="both"/>
        <w:rPr>
          <w:rFonts w:cs="Arial"/>
          <w:szCs w:val="20"/>
        </w:rPr>
      </w:pPr>
      <w:r>
        <w:rPr>
          <w:rFonts w:cs="Arial"/>
          <w:szCs w:val="20"/>
        </w:rPr>
        <w:t>– Direktivo 2008/105/ES Evropskega parlamenta in Sveta z dne 16. decembra 2008 o okoljskih standardih kakovosti na področju vodne politike, spremembi in poznejši razveljavitvi direktiv Sveta 82/176/EGS, 83/513/EGS, 84/156/EGS, 84/491/EGS, 86/280/EGS ter spremembi Direktive 2000/60/ES Evropskega parlamenta in Sveta (UL L št. 348 z dne 24. 12. 2008, str. 84), zadnjič spremenjeno z Direktivo 2013/39/EU Evropskega parlamenta in Sveta z dne 12. avgusta 2013 o spremembi direktiv 2000/60/ES in 2008/105/ES v zvezi s prednostnimi snovmi na področju vodne politike (UL L 226 z dne 24. 8. 2013, str. 1).«.</w:t>
      </w:r>
    </w:p>
    <w:p w:rsidR="00232C89" w:rsidRDefault="00232C89" w:rsidP="00232C89">
      <w:pPr>
        <w:jc w:val="both"/>
        <w:rPr>
          <w:rFonts w:cs="Arial"/>
          <w:szCs w:val="20"/>
        </w:rPr>
      </w:pPr>
    </w:p>
    <w:p w:rsidR="00232C89" w:rsidRDefault="00232C89" w:rsidP="00232C89">
      <w:pPr>
        <w:jc w:val="center"/>
        <w:rPr>
          <w:rFonts w:cs="Arial"/>
          <w:b/>
          <w:szCs w:val="20"/>
        </w:rPr>
      </w:pPr>
      <w:r>
        <w:rPr>
          <w:rFonts w:cs="Arial"/>
          <w:b/>
          <w:szCs w:val="20"/>
        </w:rPr>
        <w:t>2. člen</w:t>
      </w:r>
    </w:p>
    <w:p w:rsidR="00232C89" w:rsidRDefault="00232C89" w:rsidP="00232C89">
      <w:pPr>
        <w:jc w:val="both"/>
        <w:rPr>
          <w:rFonts w:cs="Arial"/>
          <w:szCs w:val="20"/>
        </w:rPr>
      </w:pPr>
    </w:p>
    <w:p w:rsidR="00232C89" w:rsidRDefault="00232C89" w:rsidP="00232C89">
      <w:pPr>
        <w:jc w:val="both"/>
        <w:rPr>
          <w:rFonts w:cs="Arial"/>
          <w:szCs w:val="20"/>
        </w:rPr>
      </w:pPr>
      <w:r>
        <w:rPr>
          <w:rFonts w:cs="Arial"/>
          <w:szCs w:val="20"/>
        </w:rPr>
        <w:t>V 2. členu se 7. točka spremeni tako, da se glasi:</w:t>
      </w:r>
    </w:p>
    <w:p w:rsidR="00232C89" w:rsidRDefault="00232C89" w:rsidP="00232C89">
      <w:pPr>
        <w:jc w:val="both"/>
        <w:rPr>
          <w:rFonts w:cs="Arial"/>
          <w:szCs w:val="20"/>
        </w:rPr>
      </w:pPr>
      <w:r>
        <w:rPr>
          <w:rFonts w:cs="Arial"/>
          <w:szCs w:val="20"/>
        </w:rPr>
        <w:t>»7.  območja s posebnimi zahtevami so varstvena in ogrožena območja v skladu s predpisi, ki urejajo vode, odseki površinskih voda, pomembni za življenje sladkovodnih vrst rib, ter občutljiva in ranljiva območja v skladu s predpisi, ki urejajo varstvo okolja, zavarovana in varovana območja v skladu s predpisi, ki urejajo ohranjanje narave, za katera sta pomembna vodni režim in kakovost voda, območja za gojenje morskih organizmov v skladu s predpisi, ki urejajo morsko ribištvo, in druga območja, za katera sta pomembna vodni režim in kakovost voda;«.</w:t>
      </w:r>
    </w:p>
    <w:p w:rsidR="00232C89" w:rsidRDefault="00232C89" w:rsidP="00232C89">
      <w:pPr>
        <w:jc w:val="both"/>
        <w:rPr>
          <w:rFonts w:cs="Arial"/>
          <w:szCs w:val="20"/>
        </w:rPr>
      </w:pPr>
    </w:p>
    <w:p w:rsidR="00232C89" w:rsidRDefault="00232C89" w:rsidP="00232C89">
      <w:pPr>
        <w:jc w:val="both"/>
        <w:rPr>
          <w:rFonts w:cs="Arial"/>
          <w:szCs w:val="20"/>
        </w:rPr>
      </w:pPr>
      <w:r>
        <w:rPr>
          <w:rFonts w:cs="Arial"/>
          <w:szCs w:val="20"/>
        </w:rPr>
        <w:t>Za 18. točko se pika nadomesti s podpičjem in dodata novi 19. in 20. točka, ki se glasita:</w:t>
      </w:r>
    </w:p>
    <w:p w:rsidR="00232C89" w:rsidRDefault="00232C89" w:rsidP="00232C89">
      <w:pPr>
        <w:jc w:val="both"/>
        <w:rPr>
          <w:rFonts w:cs="Arial"/>
          <w:szCs w:val="20"/>
        </w:rPr>
      </w:pPr>
      <w:r>
        <w:rPr>
          <w:rFonts w:cs="Arial"/>
          <w:szCs w:val="20"/>
        </w:rPr>
        <w:t>»19. okoljski standard kakovosti je okoljski standard kakovosti v skladu s predpisom, ki ureja stanje površinskih voda (v nadaljnjem besedilu: OSK), in</w:t>
      </w:r>
    </w:p>
    <w:p w:rsidR="00232C89" w:rsidRDefault="00232C89" w:rsidP="00232C89">
      <w:pPr>
        <w:jc w:val="both"/>
        <w:rPr>
          <w:rFonts w:cs="Arial"/>
          <w:szCs w:val="20"/>
        </w:rPr>
      </w:pPr>
      <w:r>
        <w:rPr>
          <w:rFonts w:cs="Arial"/>
          <w:szCs w:val="20"/>
        </w:rPr>
        <w:t>20. druga onesnaževala so druga onesnaževala v skladu s predpisom, ki ureja stanje površinskih voda.«.</w:t>
      </w:r>
    </w:p>
    <w:p w:rsidR="00232C89" w:rsidRDefault="00232C89" w:rsidP="00232C89">
      <w:pPr>
        <w:jc w:val="center"/>
        <w:rPr>
          <w:rFonts w:cs="Arial"/>
          <w:szCs w:val="20"/>
        </w:rPr>
      </w:pPr>
    </w:p>
    <w:p w:rsidR="00232C89" w:rsidRDefault="00232C89" w:rsidP="00232C89">
      <w:pPr>
        <w:jc w:val="center"/>
        <w:rPr>
          <w:rFonts w:cs="Arial"/>
          <w:b/>
          <w:szCs w:val="20"/>
        </w:rPr>
      </w:pPr>
      <w:r>
        <w:rPr>
          <w:rFonts w:cs="Arial"/>
          <w:b/>
          <w:szCs w:val="20"/>
        </w:rPr>
        <w:t>3. člen</w:t>
      </w:r>
    </w:p>
    <w:p w:rsidR="00232C89" w:rsidRDefault="00232C89" w:rsidP="00232C89">
      <w:pPr>
        <w:jc w:val="both"/>
        <w:rPr>
          <w:rFonts w:cs="Arial"/>
          <w:szCs w:val="20"/>
        </w:rPr>
      </w:pPr>
    </w:p>
    <w:p w:rsidR="00232C89" w:rsidRDefault="00232C89" w:rsidP="00232C89">
      <w:pPr>
        <w:jc w:val="both"/>
        <w:rPr>
          <w:rFonts w:cs="Arial"/>
          <w:szCs w:val="20"/>
        </w:rPr>
      </w:pPr>
      <w:r>
        <w:rPr>
          <w:rFonts w:cs="Arial"/>
          <w:szCs w:val="20"/>
        </w:rPr>
        <w:t>V drugem odstavku 3. člena se črta 6. točka, dosedanja 7. in 8. točka pa postaneta 6. in 7. točka.</w:t>
      </w:r>
    </w:p>
    <w:p w:rsidR="00232C89" w:rsidRDefault="00232C89" w:rsidP="00232C89">
      <w:pPr>
        <w:jc w:val="both"/>
        <w:rPr>
          <w:rFonts w:cs="Arial"/>
          <w:szCs w:val="20"/>
        </w:rPr>
      </w:pPr>
    </w:p>
    <w:p w:rsidR="00232C89" w:rsidRDefault="00232C89" w:rsidP="00232C89">
      <w:pPr>
        <w:jc w:val="center"/>
        <w:rPr>
          <w:rFonts w:cs="Arial"/>
          <w:b/>
          <w:szCs w:val="20"/>
        </w:rPr>
      </w:pPr>
      <w:r>
        <w:rPr>
          <w:rFonts w:cs="Arial"/>
          <w:b/>
          <w:szCs w:val="20"/>
        </w:rPr>
        <w:t>4. člen</w:t>
      </w:r>
    </w:p>
    <w:p w:rsidR="00232C89" w:rsidRDefault="00232C89" w:rsidP="00232C89">
      <w:pPr>
        <w:jc w:val="both"/>
        <w:rPr>
          <w:rFonts w:cs="Arial"/>
          <w:szCs w:val="20"/>
        </w:rPr>
      </w:pPr>
      <w:r>
        <w:rPr>
          <w:rFonts w:cs="Arial"/>
          <w:szCs w:val="20"/>
        </w:rPr>
        <w:lastRenderedPageBreak/>
        <w:t>4. člen se črta.</w:t>
      </w:r>
    </w:p>
    <w:p w:rsidR="00232C89" w:rsidRDefault="00232C89" w:rsidP="00232C89">
      <w:pPr>
        <w:jc w:val="both"/>
        <w:rPr>
          <w:rFonts w:cs="Arial"/>
          <w:szCs w:val="20"/>
        </w:rPr>
      </w:pPr>
    </w:p>
    <w:p w:rsidR="00232C89" w:rsidRDefault="00232C89" w:rsidP="00232C89">
      <w:pPr>
        <w:jc w:val="center"/>
        <w:rPr>
          <w:rFonts w:cs="Arial"/>
          <w:b/>
          <w:szCs w:val="20"/>
        </w:rPr>
      </w:pPr>
      <w:r>
        <w:rPr>
          <w:rFonts w:cs="Arial"/>
          <w:b/>
          <w:szCs w:val="20"/>
        </w:rPr>
        <w:t>5. člen</w:t>
      </w:r>
    </w:p>
    <w:p w:rsidR="00232C89" w:rsidRDefault="00232C89" w:rsidP="00232C89">
      <w:pPr>
        <w:jc w:val="both"/>
        <w:rPr>
          <w:rFonts w:cs="Arial"/>
          <w:szCs w:val="20"/>
        </w:rPr>
      </w:pPr>
    </w:p>
    <w:p w:rsidR="00232C89" w:rsidRDefault="00232C89" w:rsidP="00232C89">
      <w:pPr>
        <w:jc w:val="both"/>
        <w:rPr>
          <w:rFonts w:cs="Arial"/>
          <w:szCs w:val="20"/>
        </w:rPr>
      </w:pPr>
      <w:proofErr w:type="spellStart"/>
      <w:r>
        <w:rPr>
          <w:rFonts w:cs="Arial"/>
          <w:szCs w:val="20"/>
        </w:rPr>
        <w:t>15.a</w:t>
      </w:r>
      <w:proofErr w:type="spellEnd"/>
      <w:r>
        <w:rPr>
          <w:rFonts w:cs="Arial"/>
          <w:szCs w:val="20"/>
        </w:rPr>
        <w:t xml:space="preserve"> člen se spremeni tako, da se glasi:</w:t>
      </w:r>
    </w:p>
    <w:p w:rsidR="00232C89" w:rsidRDefault="00232C89" w:rsidP="00232C89">
      <w:pPr>
        <w:jc w:val="both"/>
        <w:rPr>
          <w:rFonts w:cs="Arial"/>
          <w:szCs w:val="20"/>
        </w:rPr>
      </w:pPr>
    </w:p>
    <w:p w:rsidR="00232C89" w:rsidRDefault="00232C89" w:rsidP="00232C89">
      <w:pPr>
        <w:autoSpaceDE w:val="0"/>
        <w:autoSpaceDN w:val="0"/>
        <w:adjustRightInd w:val="0"/>
        <w:spacing w:line="240" w:lineRule="auto"/>
        <w:jc w:val="center"/>
        <w:rPr>
          <w:rFonts w:cs="Arial"/>
          <w:bCs/>
          <w:szCs w:val="20"/>
          <w:lang w:eastAsia="sl-SI"/>
        </w:rPr>
      </w:pPr>
      <w:r>
        <w:rPr>
          <w:rFonts w:cs="Arial"/>
          <w:b/>
          <w:szCs w:val="20"/>
        </w:rPr>
        <w:t>»</w:t>
      </w:r>
      <w:proofErr w:type="spellStart"/>
      <w:r>
        <w:rPr>
          <w:rFonts w:cs="Arial"/>
          <w:bCs/>
          <w:szCs w:val="20"/>
          <w:lang w:eastAsia="sl-SI"/>
        </w:rPr>
        <w:t>15.a</w:t>
      </w:r>
      <w:proofErr w:type="spellEnd"/>
      <w:r>
        <w:rPr>
          <w:rFonts w:cs="Arial"/>
          <w:bCs/>
          <w:szCs w:val="20"/>
          <w:lang w:eastAsia="sl-SI"/>
        </w:rPr>
        <w:t xml:space="preserve"> člen</w:t>
      </w:r>
    </w:p>
    <w:p w:rsidR="00232C89" w:rsidRDefault="00232C89" w:rsidP="00232C89">
      <w:pPr>
        <w:autoSpaceDE w:val="0"/>
        <w:autoSpaceDN w:val="0"/>
        <w:adjustRightInd w:val="0"/>
        <w:spacing w:line="240" w:lineRule="auto"/>
        <w:jc w:val="center"/>
        <w:rPr>
          <w:rFonts w:cs="Arial"/>
          <w:bCs/>
          <w:szCs w:val="20"/>
          <w:lang w:eastAsia="sl-SI"/>
        </w:rPr>
      </w:pPr>
      <w:r>
        <w:rPr>
          <w:rFonts w:cs="Arial"/>
          <w:bCs/>
          <w:szCs w:val="20"/>
          <w:lang w:eastAsia="sl-SI"/>
        </w:rPr>
        <w:t>(ocena verjetnosti doseganja ciljev za vodna telesa podzemnih voda)</w:t>
      </w:r>
    </w:p>
    <w:p w:rsidR="00232C89" w:rsidRDefault="00232C89" w:rsidP="00232C89">
      <w:pPr>
        <w:autoSpaceDE w:val="0"/>
        <w:autoSpaceDN w:val="0"/>
        <w:adjustRightInd w:val="0"/>
        <w:spacing w:line="240" w:lineRule="auto"/>
        <w:jc w:val="center"/>
        <w:rPr>
          <w:rFonts w:cs="Arial"/>
          <w:szCs w:val="20"/>
          <w:highlight w:val="yellow"/>
          <w:lang w:eastAsia="sl-SI"/>
        </w:rPr>
      </w:pPr>
    </w:p>
    <w:p w:rsidR="00232C89" w:rsidRDefault="00232C89" w:rsidP="00232C89">
      <w:pPr>
        <w:jc w:val="both"/>
        <w:rPr>
          <w:rFonts w:cs="Arial"/>
          <w:szCs w:val="20"/>
        </w:rPr>
      </w:pPr>
      <w:r>
        <w:rPr>
          <w:rFonts w:cs="Arial"/>
          <w:szCs w:val="20"/>
        </w:rPr>
        <w:t xml:space="preserve">(1) Ocena verjetnosti doseganja ciljev za vodna telesa podzemnih voda mora vključevati tudi povzetek načina uporabe postopka za določitev vrednosti praga v skladu s predpisom, ki ureja stanje podzemnih voda, zlasti še informacije o vseh vodnih telesih podzemnih voda ali skupinah vodnih teles podzemnih voda, za katere je v skladu s prejšnjim členom ocenjeno, da ne bodo dosegla dobrega kemijskega stanja, skupaj z naslednjimi informacijami: </w:t>
      </w:r>
    </w:p>
    <w:p w:rsidR="00232C89" w:rsidRDefault="00232C89" w:rsidP="00232C89">
      <w:pPr>
        <w:jc w:val="both"/>
        <w:rPr>
          <w:rFonts w:cs="Arial"/>
          <w:szCs w:val="20"/>
        </w:rPr>
      </w:pPr>
      <w:r>
        <w:rPr>
          <w:rFonts w:cs="Arial"/>
          <w:szCs w:val="20"/>
        </w:rPr>
        <w:t>– velikostjo vodnih teles podzemnih voda,</w:t>
      </w:r>
    </w:p>
    <w:p w:rsidR="00232C89" w:rsidRDefault="00232C89" w:rsidP="00232C89">
      <w:pPr>
        <w:jc w:val="both"/>
        <w:rPr>
          <w:rFonts w:cs="Arial"/>
          <w:szCs w:val="20"/>
        </w:rPr>
      </w:pPr>
      <w:r>
        <w:rPr>
          <w:rFonts w:cs="Arial"/>
          <w:szCs w:val="20"/>
        </w:rPr>
        <w:t>– onesnaževalih ali kazalcih onesnaženja, zaradi katerih je ocenjeno, da vodna telesa podzemnih voda ne bodo dosegla dobrega kemijskega stanja,</w:t>
      </w:r>
    </w:p>
    <w:p w:rsidR="00232C89" w:rsidRDefault="00232C89" w:rsidP="00232C89">
      <w:pPr>
        <w:jc w:val="both"/>
        <w:rPr>
          <w:rFonts w:cs="Arial"/>
          <w:szCs w:val="20"/>
        </w:rPr>
      </w:pPr>
      <w:r>
        <w:rPr>
          <w:rFonts w:cs="Arial"/>
          <w:szCs w:val="20"/>
        </w:rPr>
        <w:t xml:space="preserve">– okoljskimi cilji kakovosti, s katerimi je ocena iz prejšnje točke povezana, vključno z obstoječimi in možnimi obremenitvami ali funkcijami vodnih teles podzemnih voda, ter razmerjem med vodnimi telesi podzemnih voda in z njimi povezanimi površinskimi vodami ter kopenskimi ekosistemi, ki so neposredno odvisni od podzemnih voda, </w:t>
      </w:r>
    </w:p>
    <w:p w:rsidR="00232C89" w:rsidRDefault="00232C89" w:rsidP="00232C89">
      <w:pPr>
        <w:jc w:val="both"/>
        <w:rPr>
          <w:rFonts w:cs="Arial"/>
          <w:szCs w:val="20"/>
        </w:rPr>
      </w:pPr>
      <w:r>
        <w:rPr>
          <w:rFonts w:cs="Arial"/>
          <w:szCs w:val="20"/>
        </w:rPr>
        <w:t>– v primeru naravno prisotnih snovi vrednostjo naravnega ozadja v vodnih telesih podzemnih voda in</w:t>
      </w:r>
    </w:p>
    <w:p w:rsidR="00232C89" w:rsidRDefault="00232C89" w:rsidP="00232C89">
      <w:pPr>
        <w:jc w:val="both"/>
        <w:rPr>
          <w:rFonts w:cs="Arial"/>
          <w:szCs w:val="20"/>
        </w:rPr>
      </w:pPr>
      <w:r>
        <w:rPr>
          <w:rFonts w:cs="Arial"/>
          <w:szCs w:val="20"/>
        </w:rPr>
        <w:t>– informacijami o preseganjih, kadar so vrednosti praga presežene.</w:t>
      </w:r>
    </w:p>
    <w:p w:rsidR="00232C89" w:rsidRDefault="00232C89" w:rsidP="00232C89">
      <w:pPr>
        <w:jc w:val="both"/>
        <w:rPr>
          <w:rFonts w:cs="Arial"/>
          <w:szCs w:val="20"/>
          <w:highlight w:val="yellow"/>
        </w:rPr>
      </w:pPr>
    </w:p>
    <w:p w:rsidR="00232C89" w:rsidRDefault="00232C89" w:rsidP="00232C89">
      <w:pPr>
        <w:jc w:val="both"/>
        <w:rPr>
          <w:rFonts w:cs="Arial"/>
          <w:szCs w:val="20"/>
        </w:rPr>
      </w:pPr>
      <w:r>
        <w:rPr>
          <w:rFonts w:cs="Arial"/>
          <w:szCs w:val="20"/>
        </w:rPr>
        <w:t>(2) Kadar podatki iz prejšnjega odstavka niso vključeni v načrte upravljanja voda na vodnih območjih, se v teh načrtih navedejo razlogi, zaradi katerih ti podatki niso vključeni.«.</w:t>
      </w:r>
    </w:p>
    <w:p w:rsidR="00232C89" w:rsidRDefault="00232C89" w:rsidP="00232C89">
      <w:pPr>
        <w:jc w:val="center"/>
        <w:rPr>
          <w:rFonts w:cs="Arial"/>
          <w:szCs w:val="20"/>
        </w:rPr>
      </w:pPr>
    </w:p>
    <w:p w:rsidR="00232C89" w:rsidRDefault="00232C89" w:rsidP="00232C89">
      <w:pPr>
        <w:jc w:val="center"/>
        <w:rPr>
          <w:rFonts w:cs="Arial"/>
          <w:b/>
          <w:szCs w:val="20"/>
        </w:rPr>
      </w:pPr>
      <w:r>
        <w:rPr>
          <w:rFonts w:cs="Arial"/>
          <w:b/>
          <w:szCs w:val="20"/>
        </w:rPr>
        <w:t>6. člen</w:t>
      </w:r>
    </w:p>
    <w:p w:rsidR="00232C89" w:rsidRDefault="00232C89" w:rsidP="00232C89">
      <w:pPr>
        <w:jc w:val="both"/>
        <w:rPr>
          <w:rFonts w:cs="Arial"/>
          <w:szCs w:val="20"/>
        </w:rPr>
      </w:pPr>
    </w:p>
    <w:p w:rsidR="00232C89" w:rsidRDefault="00232C89" w:rsidP="00232C89">
      <w:pPr>
        <w:jc w:val="both"/>
        <w:rPr>
          <w:rFonts w:cs="Arial"/>
          <w:szCs w:val="20"/>
        </w:rPr>
      </w:pPr>
      <w:r>
        <w:rPr>
          <w:rFonts w:cs="Arial"/>
          <w:szCs w:val="20"/>
        </w:rPr>
        <w:t>V 19. členu se za četrtim odstavkom dodata nova peti in šesti odstavek, ki se glasita:</w:t>
      </w:r>
    </w:p>
    <w:p w:rsidR="00232C89" w:rsidRDefault="00232C89" w:rsidP="00232C89">
      <w:pPr>
        <w:jc w:val="both"/>
        <w:rPr>
          <w:rFonts w:cs="Arial"/>
          <w:szCs w:val="20"/>
        </w:rPr>
      </w:pPr>
    </w:p>
    <w:p w:rsidR="00232C89" w:rsidRDefault="00232C89" w:rsidP="00232C89">
      <w:pPr>
        <w:jc w:val="both"/>
        <w:rPr>
          <w:rFonts w:cs="Arial"/>
          <w:szCs w:val="20"/>
        </w:rPr>
      </w:pPr>
      <w:r>
        <w:rPr>
          <w:rFonts w:cs="Arial"/>
          <w:szCs w:val="20"/>
        </w:rPr>
        <w:t xml:space="preserve">»(5) Opis monitoringa vodnih teles površinskih voda lahko vključuje dodatne karte, ki informacije o kemijskem stanju </w:t>
      </w:r>
      <w:r>
        <w:t xml:space="preserve">površinskih voda </w:t>
      </w:r>
      <w:r>
        <w:rPr>
          <w:rFonts w:cs="Arial"/>
          <w:szCs w:val="20"/>
        </w:rPr>
        <w:t>za eno ali več snovi iz predpisa, ki ureja stanje površinskih voda, prikazujejo ločeno od informacij za ostale snovi, in sicer ločeno za:</w:t>
      </w:r>
    </w:p>
    <w:p w:rsidR="00232C89" w:rsidRDefault="00232C89" w:rsidP="00232C89">
      <w:pPr>
        <w:jc w:val="both"/>
        <w:rPr>
          <w:rFonts w:cs="Arial"/>
          <w:szCs w:val="20"/>
        </w:rPr>
      </w:pPr>
      <w:r>
        <w:rPr>
          <w:rFonts w:cs="Arial"/>
          <w:szCs w:val="20"/>
        </w:rPr>
        <w:t>– prednostne snovi, ki se obnašajo kot splošno prisotne snovi, ki obstojne, se kopičijo in so strupene, in so določene v preglednici 1 iz priloge 1, ki je sestavni del te uredbe,</w:t>
      </w:r>
    </w:p>
    <w:p w:rsidR="00232C89" w:rsidRDefault="00232C89" w:rsidP="00232C89">
      <w:pPr>
        <w:jc w:val="both"/>
        <w:rPr>
          <w:rFonts w:cs="Arial"/>
          <w:szCs w:val="20"/>
        </w:rPr>
      </w:pPr>
      <w:r>
        <w:rPr>
          <w:rFonts w:cs="Arial"/>
          <w:szCs w:val="20"/>
        </w:rPr>
        <w:t xml:space="preserve">– prednostne snovi, </w:t>
      </w:r>
      <w:r>
        <w:t>ki so uvrščene v seznam kemijskih parametrov z Uredbo o spremembah in dopolnitvah Uredbe o stanju površinskih voda (Uradni list RS, št. 24/16 z dne 1. 4. 2016) in so določene v</w:t>
      </w:r>
      <w:r>
        <w:rPr>
          <w:rFonts w:cs="Arial"/>
          <w:szCs w:val="20"/>
        </w:rPr>
        <w:t xml:space="preserve"> preglednici 2 iz priloge 1 te uredbe in</w:t>
      </w:r>
    </w:p>
    <w:p w:rsidR="00232C89" w:rsidRDefault="00232C89" w:rsidP="00232C89">
      <w:pPr>
        <w:jc w:val="both"/>
        <w:rPr>
          <w:rFonts w:cs="Arial"/>
          <w:szCs w:val="20"/>
        </w:rPr>
      </w:pPr>
      <w:r>
        <w:rPr>
          <w:rFonts w:cs="Arial"/>
          <w:szCs w:val="20"/>
        </w:rPr>
        <w:t xml:space="preserve">– prednostne snovi, </w:t>
      </w:r>
      <w:r>
        <w:t>za katere so z Uredbo o spremembah in dopolnitvah Uredbe o stanju površinskih voda (Uradni list RS, št. 24/16 z dne 1. 4. 2016) določeni spremenjeni OSK in so določene v</w:t>
      </w:r>
      <w:r>
        <w:rPr>
          <w:rFonts w:cs="Arial"/>
          <w:szCs w:val="20"/>
        </w:rPr>
        <w:t xml:space="preserve"> preglednici 3 iz priloge 1 te uredbe.</w:t>
      </w:r>
    </w:p>
    <w:p w:rsidR="00232C89" w:rsidRDefault="00232C89" w:rsidP="00232C89">
      <w:pPr>
        <w:jc w:val="both"/>
        <w:rPr>
          <w:rFonts w:cs="Arial"/>
          <w:szCs w:val="20"/>
        </w:rPr>
      </w:pPr>
    </w:p>
    <w:p w:rsidR="00232C89" w:rsidRDefault="00232C89" w:rsidP="00232C89">
      <w:pPr>
        <w:jc w:val="both"/>
        <w:rPr>
          <w:rFonts w:cs="Arial"/>
          <w:szCs w:val="20"/>
        </w:rPr>
      </w:pPr>
      <w:r>
        <w:rPr>
          <w:rFonts w:cs="Arial"/>
          <w:szCs w:val="20"/>
        </w:rPr>
        <w:t>(6) Opis monitoringa vodnih teles površinskih voda lahko vključuje tudi obseg vsakega odstopanja od vrednosti OSK iz predpisa, ki ureja stanje površinskih voda, za snovi iz prejšnjega odstavka. Kjer je to mogoče, se predložijo take dodatne karte, ki so primerljive z drugimi kartami na ravni vodnega območja in Unije.«.</w:t>
      </w:r>
    </w:p>
    <w:p w:rsidR="00232C89" w:rsidRDefault="00232C89" w:rsidP="00232C89">
      <w:pPr>
        <w:jc w:val="both"/>
        <w:rPr>
          <w:rFonts w:cs="Arial"/>
          <w:szCs w:val="20"/>
        </w:rPr>
      </w:pPr>
    </w:p>
    <w:p w:rsidR="00232C89" w:rsidRDefault="00232C89" w:rsidP="00232C89">
      <w:pPr>
        <w:jc w:val="both"/>
        <w:rPr>
          <w:rFonts w:cs="Arial"/>
          <w:szCs w:val="20"/>
        </w:rPr>
      </w:pPr>
      <w:r>
        <w:rPr>
          <w:rFonts w:cs="Arial"/>
          <w:szCs w:val="20"/>
        </w:rPr>
        <w:t>Dosedanji peti odstavek postane sedmi odstavek.</w:t>
      </w:r>
    </w:p>
    <w:p w:rsidR="00232C89" w:rsidRDefault="00232C89" w:rsidP="00232C89">
      <w:pPr>
        <w:tabs>
          <w:tab w:val="left" w:pos="1991"/>
        </w:tabs>
        <w:jc w:val="both"/>
        <w:rPr>
          <w:rFonts w:cs="Arial"/>
          <w:szCs w:val="20"/>
          <w:highlight w:val="yellow"/>
        </w:rPr>
      </w:pPr>
    </w:p>
    <w:p w:rsidR="00232C89" w:rsidRDefault="00232C89" w:rsidP="00232C89">
      <w:pPr>
        <w:jc w:val="center"/>
        <w:rPr>
          <w:rFonts w:cs="Arial"/>
          <w:b/>
          <w:szCs w:val="20"/>
        </w:rPr>
      </w:pPr>
      <w:r>
        <w:rPr>
          <w:rFonts w:cs="Arial"/>
          <w:b/>
          <w:szCs w:val="20"/>
        </w:rPr>
        <w:t>7. člen</w:t>
      </w:r>
    </w:p>
    <w:p w:rsidR="00232C89" w:rsidRDefault="00232C89" w:rsidP="00232C89">
      <w:pPr>
        <w:jc w:val="center"/>
        <w:rPr>
          <w:rFonts w:cs="Arial"/>
          <w:szCs w:val="20"/>
          <w:highlight w:val="yellow"/>
        </w:rPr>
      </w:pPr>
    </w:p>
    <w:p w:rsidR="00232C89" w:rsidRDefault="00232C89" w:rsidP="00232C89">
      <w:pPr>
        <w:jc w:val="both"/>
        <w:rPr>
          <w:rFonts w:cs="Arial"/>
          <w:szCs w:val="20"/>
        </w:rPr>
      </w:pPr>
      <w:r>
        <w:rPr>
          <w:rFonts w:cs="Arial"/>
          <w:szCs w:val="20"/>
        </w:rPr>
        <w:t>Peti odstavek 20. člena se spremeni tako, da se glasi:</w:t>
      </w:r>
    </w:p>
    <w:p w:rsidR="00232C89" w:rsidRDefault="00232C89" w:rsidP="00232C89">
      <w:pPr>
        <w:jc w:val="both"/>
        <w:rPr>
          <w:rFonts w:cs="Arial"/>
          <w:szCs w:val="20"/>
        </w:rPr>
      </w:pPr>
    </w:p>
    <w:p w:rsidR="00232C89" w:rsidRDefault="00232C89" w:rsidP="00232C89">
      <w:pPr>
        <w:jc w:val="both"/>
        <w:rPr>
          <w:rFonts w:cs="Arial"/>
          <w:szCs w:val="20"/>
        </w:rPr>
      </w:pPr>
      <w:r>
        <w:rPr>
          <w:rFonts w:cs="Arial"/>
          <w:b/>
          <w:szCs w:val="20"/>
        </w:rPr>
        <w:lastRenderedPageBreak/>
        <w:t>»</w:t>
      </w:r>
      <w:r>
        <w:rPr>
          <w:rFonts w:cs="Arial"/>
          <w:szCs w:val="20"/>
        </w:rPr>
        <w:t>(5) V opisu monitoringa morajo biti v zvezi z onesnaževali in kazalci onesnaženja podane tudi naslednje informacije:</w:t>
      </w:r>
    </w:p>
    <w:p w:rsidR="00232C89" w:rsidRDefault="00232C89" w:rsidP="00232C89">
      <w:pPr>
        <w:jc w:val="both"/>
        <w:rPr>
          <w:rFonts w:cs="Arial"/>
          <w:szCs w:val="20"/>
        </w:rPr>
      </w:pPr>
      <w:r>
        <w:rPr>
          <w:rFonts w:cs="Arial"/>
          <w:szCs w:val="20"/>
        </w:rPr>
        <w:t>1. informacije o vrednosti praga na nacionalni ravni, na ravni vodnega območja ali na ravni dela mednarodnega vodnega območja na ozemlju Slovenije ali na ravni vodnega telesa podzemnih voda ali skupine vodnih teles podzemnih voda;</w:t>
      </w:r>
    </w:p>
    <w:p w:rsidR="00232C89" w:rsidRDefault="00232C89" w:rsidP="00232C89">
      <w:pPr>
        <w:jc w:val="both"/>
        <w:rPr>
          <w:rFonts w:cs="Arial"/>
          <w:szCs w:val="20"/>
        </w:rPr>
      </w:pPr>
      <w:r>
        <w:rPr>
          <w:rFonts w:cs="Arial"/>
          <w:szCs w:val="20"/>
        </w:rPr>
        <w:t>2. informacije o razmerju med vrednostmi praga in:</w:t>
      </w:r>
    </w:p>
    <w:p w:rsidR="00232C89" w:rsidRDefault="00232C89" w:rsidP="00232C89">
      <w:pPr>
        <w:jc w:val="both"/>
        <w:rPr>
          <w:rFonts w:cs="Arial"/>
          <w:szCs w:val="20"/>
        </w:rPr>
      </w:pPr>
      <w:r>
        <w:rPr>
          <w:rFonts w:cs="Arial"/>
          <w:szCs w:val="20"/>
        </w:rPr>
        <w:t>– vrednostmi naravnega ozadja v primeru naravno prisotnih snovi,</w:t>
      </w:r>
    </w:p>
    <w:p w:rsidR="00232C89" w:rsidRDefault="00232C89" w:rsidP="00232C89">
      <w:pPr>
        <w:jc w:val="both"/>
        <w:rPr>
          <w:rFonts w:cs="Arial"/>
          <w:szCs w:val="20"/>
        </w:rPr>
      </w:pPr>
      <w:r>
        <w:rPr>
          <w:rFonts w:cs="Arial"/>
          <w:szCs w:val="20"/>
        </w:rPr>
        <w:t xml:space="preserve">– povezanimi površinskimi vodami ter kopenskimi ekosistemi, ki so neposredno odvisni od podzemnih voda, </w:t>
      </w:r>
    </w:p>
    <w:p w:rsidR="00232C89" w:rsidRDefault="00232C89" w:rsidP="00232C89">
      <w:pPr>
        <w:jc w:val="both"/>
        <w:rPr>
          <w:rFonts w:cs="Arial"/>
          <w:szCs w:val="20"/>
        </w:rPr>
      </w:pPr>
      <w:r>
        <w:rPr>
          <w:rFonts w:cs="Arial"/>
          <w:szCs w:val="20"/>
        </w:rPr>
        <w:t>– okoljskimi cilji kakovosti ter drugimi standardi varstva voda na nacionalni ravni, na ravni Unije ali na mednarodni ravni in</w:t>
      </w:r>
    </w:p>
    <w:p w:rsidR="00232C89" w:rsidRDefault="00232C89" w:rsidP="00232C89">
      <w:pPr>
        <w:jc w:val="both"/>
        <w:rPr>
          <w:rFonts w:cs="Arial"/>
          <w:szCs w:val="20"/>
        </w:rPr>
      </w:pPr>
      <w:r>
        <w:rPr>
          <w:rFonts w:cs="Arial"/>
          <w:szCs w:val="20"/>
        </w:rPr>
        <w:t xml:space="preserve">– drugimi pomembnimi informacijami o toksičnosti, </w:t>
      </w:r>
      <w:proofErr w:type="spellStart"/>
      <w:r>
        <w:rPr>
          <w:rFonts w:cs="Arial"/>
          <w:szCs w:val="20"/>
        </w:rPr>
        <w:t>ekotoksičnosti</w:t>
      </w:r>
      <w:proofErr w:type="spellEnd"/>
      <w:r>
        <w:rPr>
          <w:rFonts w:cs="Arial"/>
          <w:szCs w:val="20"/>
        </w:rPr>
        <w:t xml:space="preserve">, obstojnosti, </w:t>
      </w:r>
      <w:proofErr w:type="spellStart"/>
      <w:r>
        <w:rPr>
          <w:rFonts w:cs="Arial"/>
          <w:szCs w:val="20"/>
        </w:rPr>
        <w:t>bioakumulacijskem</w:t>
      </w:r>
      <w:proofErr w:type="spellEnd"/>
      <w:r>
        <w:rPr>
          <w:rFonts w:cs="Arial"/>
          <w:szCs w:val="20"/>
        </w:rPr>
        <w:t xml:space="preserve"> potencialu in disperziji onesnaževal;</w:t>
      </w:r>
    </w:p>
    <w:p w:rsidR="00232C89" w:rsidRDefault="00232C89" w:rsidP="00232C89">
      <w:pPr>
        <w:jc w:val="both"/>
        <w:rPr>
          <w:rFonts w:cs="Arial"/>
          <w:szCs w:val="20"/>
        </w:rPr>
      </w:pPr>
      <w:r>
        <w:rPr>
          <w:rFonts w:cs="Arial"/>
          <w:szCs w:val="20"/>
        </w:rPr>
        <w:t xml:space="preserve">3. opis uporabljene metodologije za določanje vrednosti naravnega ozadja, ki mora temeljiti na načelih za določanje vrednosti naravnega ozadja v skladu s predpisom, ki ureja stanje podzemnih voda, </w:t>
      </w:r>
    </w:p>
    <w:p w:rsidR="00232C89" w:rsidRDefault="00232C89" w:rsidP="00232C89">
      <w:pPr>
        <w:jc w:val="both"/>
        <w:rPr>
          <w:rFonts w:cs="Arial"/>
          <w:szCs w:val="20"/>
        </w:rPr>
      </w:pPr>
      <w:r>
        <w:rPr>
          <w:rFonts w:cs="Arial"/>
          <w:szCs w:val="20"/>
        </w:rPr>
        <w:t>4. opis razlogov, zaradi katerih vrednosti praga za onesnaževala in kazalce onesnaženja, določene v predpisu, ki ureja stanje podzemnih voda, niso določene,</w:t>
      </w:r>
    </w:p>
    <w:p w:rsidR="00232C89" w:rsidRDefault="00232C89" w:rsidP="00232C89">
      <w:pPr>
        <w:jc w:val="both"/>
        <w:rPr>
          <w:rFonts w:cs="Arial"/>
          <w:szCs w:val="20"/>
        </w:rPr>
      </w:pPr>
      <w:r>
        <w:rPr>
          <w:rFonts w:cs="Arial"/>
          <w:szCs w:val="20"/>
        </w:rPr>
        <w:t xml:space="preserve">5. informacije o ključnih elementih ocene kemijskega stanja podzemnih voda, vključno s stopnjo, metodo in obdobjem </w:t>
      </w:r>
      <w:proofErr w:type="spellStart"/>
      <w:r>
        <w:rPr>
          <w:rFonts w:cs="Arial"/>
          <w:szCs w:val="20"/>
        </w:rPr>
        <w:t>agregacije</w:t>
      </w:r>
      <w:proofErr w:type="spellEnd"/>
      <w:r>
        <w:rPr>
          <w:rFonts w:cs="Arial"/>
          <w:szCs w:val="20"/>
        </w:rPr>
        <w:t xml:space="preserve"> rezultatov </w:t>
      </w:r>
      <w:proofErr w:type="spellStart"/>
      <w:r>
        <w:rPr>
          <w:rFonts w:cs="Arial"/>
          <w:szCs w:val="20"/>
        </w:rPr>
        <w:t>monitoringa</w:t>
      </w:r>
      <w:proofErr w:type="spellEnd"/>
      <w:r>
        <w:rPr>
          <w:rFonts w:cs="Arial"/>
          <w:szCs w:val="20"/>
        </w:rPr>
        <w:t xml:space="preserve">, </w:t>
      </w:r>
    </w:p>
    <w:p w:rsidR="00232C89" w:rsidRDefault="00232C89" w:rsidP="00232C89">
      <w:pPr>
        <w:jc w:val="both"/>
        <w:rPr>
          <w:rFonts w:cs="Arial"/>
          <w:szCs w:val="20"/>
        </w:rPr>
      </w:pPr>
      <w:r>
        <w:rPr>
          <w:rFonts w:cs="Arial"/>
          <w:szCs w:val="20"/>
        </w:rPr>
        <w:t>6. opredelitev sprejemljivega preseganja in metodo za njegov izračun, v skladu s postopki za ugotavljanje dobrega kemijskega stanja podzemnih voda iz predpisa, ki ureja stanje podzemnih voda.«.</w:t>
      </w:r>
    </w:p>
    <w:p w:rsidR="00232C89" w:rsidRDefault="00232C89" w:rsidP="00232C89">
      <w:pPr>
        <w:jc w:val="both"/>
        <w:rPr>
          <w:rFonts w:cs="Arial"/>
          <w:szCs w:val="20"/>
        </w:rPr>
      </w:pPr>
    </w:p>
    <w:p w:rsidR="00232C89" w:rsidRDefault="00232C89" w:rsidP="00232C89">
      <w:pPr>
        <w:jc w:val="both"/>
        <w:rPr>
          <w:rFonts w:cs="Arial"/>
          <w:szCs w:val="20"/>
        </w:rPr>
      </w:pPr>
      <w:r>
        <w:rPr>
          <w:rFonts w:cs="Arial"/>
          <w:szCs w:val="20"/>
        </w:rPr>
        <w:t>Za petim odstavkom se doda nov šesti odstavek, ki se glasi:</w:t>
      </w:r>
    </w:p>
    <w:p w:rsidR="00232C89" w:rsidRDefault="00232C89" w:rsidP="00232C89">
      <w:pPr>
        <w:jc w:val="both"/>
        <w:rPr>
          <w:rFonts w:cs="Arial"/>
          <w:szCs w:val="20"/>
        </w:rPr>
      </w:pPr>
      <w:r>
        <w:rPr>
          <w:rFonts w:cs="Arial"/>
          <w:szCs w:val="20"/>
        </w:rPr>
        <w:t>»(6) Kadar podatki iz prejšnjega odstavka niso vključeni v načrte upravljanja voda, se v teh načrtih navedejo razlogi, zaradi katerih ti podatki niso vključeni.«.</w:t>
      </w:r>
    </w:p>
    <w:p w:rsidR="00232C89" w:rsidRDefault="00232C89" w:rsidP="00232C89">
      <w:pPr>
        <w:jc w:val="both"/>
        <w:rPr>
          <w:rFonts w:cs="Arial"/>
          <w:szCs w:val="20"/>
          <w:highlight w:val="yellow"/>
        </w:rPr>
      </w:pPr>
    </w:p>
    <w:p w:rsidR="00232C89" w:rsidRDefault="00232C89" w:rsidP="00232C89">
      <w:pPr>
        <w:jc w:val="both"/>
        <w:rPr>
          <w:rFonts w:cs="Arial"/>
          <w:szCs w:val="20"/>
        </w:rPr>
      </w:pPr>
      <w:r>
        <w:rPr>
          <w:rFonts w:cs="Arial"/>
          <w:szCs w:val="20"/>
        </w:rPr>
        <w:t>Dosedanji šesti do osmi odstavek postanejo sedmi do deveti odstavek.</w:t>
      </w:r>
    </w:p>
    <w:p w:rsidR="00232C89" w:rsidRDefault="00232C89" w:rsidP="00232C89">
      <w:pPr>
        <w:jc w:val="both"/>
        <w:rPr>
          <w:rFonts w:cs="Arial"/>
          <w:szCs w:val="20"/>
        </w:rPr>
      </w:pPr>
    </w:p>
    <w:p w:rsidR="00232C89" w:rsidRDefault="00232C89" w:rsidP="00232C89">
      <w:pPr>
        <w:jc w:val="center"/>
        <w:rPr>
          <w:rFonts w:cs="Arial"/>
          <w:b/>
          <w:szCs w:val="20"/>
        </w:rPr>
      </w:pPr>
      <w:r>
        <w:rPr>
          <w:rFonts w:cs="Arial"/>
          <w:b/>
          <w:szCs w:val="20"/>
        </w:rPr>
        <w:t>8. člen</w:t>
      </w:r>
    </w:p>
    <w:p w:rsidR="00232C89" w:rsidRDefault="00232C89" w:rsidP="00232C89">
      <w:pPr>
        <w:jc w:val="both"/>
        <w:rPr>
          <w:rFonts w:cs="Arial"/>
          <w:szCs w:val="20"/>
        </w:rPr>
      </w:pPr>
      <w:r>
        <w:rPr>
          <w:rFonts w:cs="Arial"/>
          <w:szCs w:val="20"/>
        </w:rPr>
        <w:t xml:space="preserve"> </w:t>
      </w:r>
    </w:p>
    <w:p w:rsidR="00232C89" w:rsidRDefault="00232C89" w:rsidP="00232C89">
      <w:pPr>
        <w:jc w:val="both"/>
        <w:rPr>
          <w:rFonts w:cs="Arial"/>
          <w:szCs w:val="20"/>
        </w:rPr>
      </w:pPr>
      <w:r>
        <w:rPr>
          <w:rFonts w:cs="Arial"/>
          <w:szCs w:val="20"/>
        </w:rPr>
        <w:t xml:space="preserve">Za </w:t>
      </w:r>
      <w:proofErr w:type="spellStart"/>
      <w:r>
        <w:rPr>
          <w:rFonts w:cs="Arial"/>
          <w:szCs w:val="20"/>
        </w:rPr>
        <w:t>29.b</w:t>
      </w:r>
      <w:proofErr w:type="spellEnd"/>
      <w:r>
        <w:rPr>
          <w:rFonts w:cs="Arial"/>
          <w:szCs w:val="20"/>
        </w:rPr>
        <w:t xml:space="preserve"> členom se doda nov </w:t>
      </w:r>
      <w:proofErr w:type="spellStart"/>
      <w:r>
        <w:rPr>
          <w:rFonts w:cs="Arial"/>
          <w:szCs w:val="20"/>
        </w:rPr>
        <w:t>29.c</w:t>
      </w:r>
      <w:proofErr w:type="spellEnd"/>
      <w:r>
        <w:rPr>
          <w:rFonts w:cs="Arial"/>
          <w:szCs w:val="20"/>
        </w:rPr>
        <w:t xml:space="preserve"> člen, ki se glasi:</w:t>
      </w:r>
    </w:p>
    <w:p w:rsidR="00232C89" w:rsidRDefault="00232C89" w:rsidP="00232C89">
      <w:pPr>
        <w:jc w:val="both"/>
        <w:rPr>
          <w:rFonts w:cs="Arial"/>
          <w:szCs w:val="20"/>
        </w:rPr>
      </w:pPr>
    </w:p>
    <w:p w:rsidR="00232C89" w:rsidRDefault="00232C89" w:rsidP="00232C89">
      <w:pPr>
        <w:jc w:val="center"/>
        <w:rPr>
          <w:rFonts w:cs="Arial"/>
          <w:szCs w:val="20"/>
        </w:rPr>
      </w:pPr>
      <w:r>
        <w:rPr>
          <w:rFonts w:cs="Arial"/>
          <w:szCs w:val="20"/>
        </w:rPr>
        <w:t>»</w:t>
      </w:r>
      <w:proofErr w:type="spellStart"/>
      <w:r>
        <w:rPr>
          <w:rFonts w:cs="Arial"/>
          <w:szCs w:val="20"/>
        </w:rPr>
        <w:t>29.c</w:t>
      </w:r>
      <w:proofErr w:type="spellEnd"/>
      <w:r>
        <w:rPr>
          <w:rFonts w:cs="Arial"/>
          <w:szCs w:val="20"/>
        </w:rPr>
        <w:t xml:space="preserve"> člen</w:t>
      </w:r>
    </w:p>
    <w:p w:rsidR="00232C89" w:rsidRDefault="00232C89" w:rsidP="00232C89">
      <w:pPr>
        <w:jc w:val="both"/>
        <w:rPr>
          <w:rFonts w:cs="Arial"/>
          <w:szCs w:val="20"/>
        </w:rPr>
      </w:pPr>
    </w:p>
    <w:p w:rsidR="00232C89" w:rsidRDefault="00232C89" w:rsidP="00232C89">
      <w:pPr>
        <w:jc w:val="both"/>
        <w:rPr>
          <w:rFonts w:cs="Arial"/>
          <w:szCs w:val="20"/>
        </w:rPr>
      </w:pPr>
      <w:r>
        <w:rPr>
          <w:rFonts w:cs="Arial"/>
          <w:szCs w:val="20"/>
        </w:rPr>
        <w:t xml:space="preserve">V program ukrepov se vključi ukrepe, s katerimi bo zagotovljeno, da bo najpozneje do 22. decembra 2021 doseženo dobro kemijsko stanje površinskih voda, in sicer za snovi iz preglednice 3 iz priloge 1 te uredbe. </w:t>
      </w:r>
    </w:p>
    <w:p w:rsidR="00232C89" w:rsidRDefault="00232C89" w:rsidP="00232C89">
      <w:pPr>
        <w:jc w:val="both"/>
        <w:rPr>
          <w:rFonts w:cs="Arial"/>
          <w:szCs w:val="20"/>
        </w:rPr>
      </w:pPr>
    </w:p>
    <w:p w:rsidR="00232C89" w:rsidRDefault="00232C89" w:rsidP="00232C89">
      <w:pPr>
        <w:jc w:val="both"/>
        <w:rPr>
          <w:rFonts w:cs="Arial"/>
          <w:szCs w:val="20"/>
        </w:rPr>
      </w:pPr>
      <w:r>
        <w:rPr>
          <w:rFonts w:cs="Arial"/>
          <w:szCs w:val="20"/>
        </w:rPr>
        <w:t>(2) Z namenom, da se do 22. decembra 2027 doseže dobro kemijsko stanje površinskih voda, in namenom preprečitve poslabšanja kemijskega stanja površinskih voda se izdela:</w:t>
      </w:r>
    </w:p>
    <w:p w:rsidR="00232C89" w:rsidRDefault="00232C89" w:rsidP="00232C89">
      <w:pPr>
        <w:jc w:val="both"/>
        <w:rPr>
          <w:rFonts w:cs="Arial"/>
          <w:szCs w:val="20"/>
        </w:rPr>
      </w:pPr>
      <w:r>
        <w:rPr>
          <w:rFonts w:cs="Arial"/>
          <w:szCs w:val="20"/>
        </w:rPr>
        <w:t xml:space="preserve">– predhodni program ukrepov, ki se nanaša na snovi iz preglednice 2 iz priloge 1 te uredbe, in </w:t>
      </w:r>
    </w:p>
    <w:p w:rsidR="00232C89" w:rsidRDefault="00232C89" w:rsidP="00232C89">
      <w:pPr>
        <w:jc w:val="both"/>
        <w:rPr>
          <w:rFonts w:cs="Arial"/>
          <w:b/>
          <w:szCs w:val="20"/>
        </w:rPr>
      </w:pPr>
      <w:r>
        <w:rPr>
          <w:rFonts w:cs="Arial"/>
          <w:szCs w:val="20"/>
        </w:rPr>
        <w:t>– končni program ukrepov v zvezi s snovmi iz prejšnje alineje.«.</w:t>
      </w:r>
    </w:p>
    <w:p w:rsidR="00232C89" w:rsidRDefault="00232C89" w:rsidP="00232C89">
      <w:pPr>
        <w:rPr>
          <w:rFonts w:cs="Arial"/>
          <w:szCs w:val="20"/>
        </w:rPr>
      </w:pPr>
    </w:p>
    <w:p w:rsidR="00232C89" w:rsidRDefault="00232C89" w:rsidP="00232C89">
      <w:pPr>
        <w:jc w:val="center"/>
        <w:rPr>
          <w:rFonts w:cs="Arial"/>
          <w:b/>
          <w:szCs w:val="20"/>
        </w:rPr>
      </w:pPr>
      <w:r>
        <w:rPr>
          <w:rFonts w:cs="Arial"/>
          <w:b/>
          <w:szCs w:val="20"/>
        </w:rPr>
        <w:t>9. člen</w:t>
      </w:r>
    </w:p>
    <w:p w:rsidR="00232C89" w:rsidRDefault="00232C89" w:rsidP="00232C89">
      <w:pPr>
        <w:jc w:val="both"/>
        <w:rPr>
          <w:rFonts w:cs="Arial"/>
          <w:szCs w:val="20"/>
        </w:rPr>
      </w:pPr>
    </w:p>
    <w:p w:rsidR="00232C89" w:rsidRDefault="00232C89" w:rsidP="00232C89">
      <w:pPr>
        <w:jc w:val="both"/>
        <w:rPr>
          <w:rFonts w:cs="Arial"/>
          <w:szCs w:val="20"/>
        </w:rPr>
      </w:pPr>
      <w:r>
        <w:rPr>
          <w:rFonts w:cs="Arial"/>
          <w:szCs w:val="20"/>
        </w:rPr>
        <w:t>V 40. členu se za tretjim odstavkom dodata nova četrti in peti odstavek, ki se glasita:</w:t>
      </w:r>
    </w:p>
    <w:p w:rsidR="00232C89" w:rsidRDefault="00232C89" w:rsidP="00232C89">
      <w:pPr>
        <w:jc w:val="both"/>
        <w:rPr>
          <w:rFonts w:cs="Arial"/>
          <w:szCs w:val="20"/>
        </w:rPr>
      </w:pPr>
      <w:r>
        <w:rPr>
          <w:rFonts w:cs="Arial"/>
          <w:szCs w:val="20"/>
        </w:rPr>
        <w:t xml:space="preserve"> »(4) Nov, spremenjen ali dopolnjen načrt upravljanja voda mora v okviru opisa monitoringa površinskih voda iz 19. člena te uredbe vsebovati tudi: </w:t>
      </w:r>
    </w:p>
    <w:p w:rsidR="00232C89" w:rsidRDefault="00232C89" w:rsidP="00232C89">
      <w:pPr>
        <w:jc w:val="both"/>
        <w:rPr>
          <w:rFonts w:cs="Arial"/>
          <w:szCs w:val="20"/>
        </w:rPr>
      </w:pPr>
      <w:r>
        <w:rPr>
          <w:rFonts w:cs="Arial"/>
          <w:szCs w:val="20"/>
        </w:rPr>
        <w:t>1. preglednico, ki prikazuje meje določljivosti uporabljenih analitskih metod in informacije o  zmogljivosti teh metod v zvezi z minimalnimi izvedbenimi merili v skladu s predpisom, ki ureja monitoring stanja površinskih voda;</w:t>
      </w:r>
    </w:p>
    <w:p w:rsidR="00232C89" w:rsidRDefault="00232C89" w:rsidP="00232C89">
      <w:pPr>
        <w:jc w:val="both"/>
        <w:rPr>
          <w:rFonts w:cs="Arial"/>
          <w:szCs w:val="20"/>
        </w:rPr>
      </w:pPr>
      <w:r>
        <w:rPr>
          <w:rFonts w:cs="Arial"/>
          <w:szCs w:val="20"/>
        </w:rPr>
        <w:t>2. za snovi,  pri  katerih se za ugotavljanje kemijskega stanja površinskih voda uporabi izjema v skladu s predpisom, ki ureja stanje površinskih voda, informacije o:</w:t>
      </w:r>
    </w:p>
    <w:p w:rsidR="00232C89" w:rsidRDefault="00232C89" w:rsidP="00232C89">
      <w:pPr>
        <w:jc w:val="both"/>
        <w:rPr>
          <w:rFonts w:cs="Arial"/>
          <w:szCs w:val="20"/>
        </w:rPr>
      </w:pPr>
      <w:r>
        <w:rPr>
          <w:rFonts w:cs="Arial"/>
          <w:szCs w:val="20"/>
        </w:rPr>
        <w:lastRenderedPageBreak/>
        <w:t>– razlogih in podlagi za uporabo te izjeme,</w:t>
      </w:r>
    </w:p>
    <w:p w:rsidR="00232C89" w:rsidRDefault="00232C89" w:rsidP="00232C89">
      <w:pPr>
        <w:jc w:val="both"/>
        <w:rPr>
          <w:rFonts w:cs="Arial"/>
          <w:szCs w:val="20"/>
        </w:rPr>
      </w:pPr>
      <w:r>
        <w:rPr>
          <w:rFonts w:cs="Arial"/>
          <w:szCs w:val="20"/>
        </w:rPr>
        <w:t>– po potrebi določene nadomestne OSK, dokaz, da bodo ti OSK zagotovili najmanj enakovredno raven varstva kot OSK iz predpisa, ki ureja stanje površinskih voda, vključno s podatki in metodologijo, ki so bili uporabljeni pri določitvi nadomestnih OSK, ter vrste površinskih voda, za katere bi se ti OSK uporabljali, in</w:t>
      </w:r>
    </w:p>
    <w:p w:rsidR="00232C89" w:rsidRDefault="00232C89" w:rsidP="00232C89">
      <w:pPr>
        <w:jc w:val="both"/>
        <w:rPr>
          <w:rFonts w:cs="Arial"/>
          <w:szCs w:val="20"/>
        </w:rPr>
      </w:pPr>
      <w:r>
        <w:rPr>
          <w:rFonts w:cs="Arial"/>
          <w:szCs w:val="20"/>
        </w:rPr>
        <w:t>– za primerjavo z informacijami iz 1. točke tega odstavka meje določljivosti analitskih metod za medije, določene v predpisu, ki ureja stanje površinskih voda, vključno z  informacijami o zmogljivosti teh  metod v zvezi z minimalnimi izvedbenimi merili iz predpisa, ki ureja stanje površinskih voda, in</w:t>
      </w:r>
    </w:p>
    <w:p w:rsidR="00232C89" w:rsidRDefault="00232C89" w:rsidP="00232C89">
      <w:pPr>
        <w:jc w:val="both"/>
        <w:rPr>
          <w:rFonts w:cs="Arial"/>
          <w:szCs w:val="20"/>
        </w:rPr>
      </w:pPr>
      <w:r>
        <w:rPr>
          <w:rFonts w:cs="Arial"/>
          <w:szCs w:val="20"/>
        </w:rPr>
        <w:t>3. utemeljitev pogostosti monitoringa</w:t>
      </w:r>
      <w:r>
        <w:t xml:space="preserve"> </w:t>
      </w:r>
      <w:r>
        <w:rPr>
          <w:rFonts w:cs="Arial"/>
          <w:szCs w:val="20"/>
        </w:rPr>
        <w:t>za snovi, za katere se uporablja OSK za sediment ali organizme, če so časovni presledki med vzorčenji daljši od enega leta.</w:t>
      </w:r>
    </w:p>
    <w:p w:rsidR="00232C89" w:rsidRDefault="00232C89" w:rsidP="00232C89">
      <w:pPr>
        <w:jc w:val="both"/>
        <w:rPr>
          <w:rFonts w:cs="Arial"/>
          <w:szCs w:val="20"/>
        </w:rPr>
      </w:pPr>
    </w:p>
    <w:p w:rsidR="00232C89" w:rsidRDefault="00232C89" w:rsidP="00232C89">
      <w:pPr>
        <w:jc w:val="both"/>
        <w:rPr>
          <w:rFonts w:cs="Arial"/>
          <w:szCs w:val="20"/>
        </w:rPr>
      </w:pPr>
      <w:r>
        <w:rPr>
          <w:rFonts w:cs="Arial"/>
          <w:szCs w:val="20"/>
        </w:rPr>
        <w:t>(5) Nov, spremenjen ali dopolnjen načrt upravljanja voda mora vsebovati tudi rezultate in učinke ukrepov za preprečevanje kemijskega onesnaževanja površinskih voda ter začasno poročilo, v  katerem je opisan napredek pri izvajanju načrtovanega programa ukrepov.«.</w:t>
      </w:r>
    </w:p>
    <w:p w:rsidR="00232C89" w:rsidRDefault="00232C89" w:rsidP="00232C89">
      <w:pPr>
        <w:jc w:val="both"/>
        <w:rPr>
          <w:rFonts w:cs="Arial"/>
          <w:szCs w:val="20"/>
        </w:rPr>
      </w:pPr>
    </w:p>
    <w:p w:rsidR="00232C89" w:rsidRDefault="00232C89" w:rsidP="00232C89">
      <w:pPr>
        <w:jc w:val="both"/>
        <w:rPr>
          <w:rFonts w:cs="Arial"/>
          <w:szCs w:val="20"/>
        </w:rPr>
      </w:pPr>
      <w:r>
        <w:rPr>
          <w:rFonts w:cs="Arial"/>
          <w:szCs w:val="20"/>
        </w:rPr>
        <w:t>Dosedanji četrti odstavek postane šesti odstavek.</w:t>
      </w:r>
    </w:p>
    <w:p w:rsidR="00232C89" w:rsidRDefault="00232C89" w:rsidP="00232C89">
      <w:pPr>
        <w:jc w:val="center"/>
        <w:rPr>
          <w:rFonts w:cs="Arial"/>
          <w:szCs w:val="20"/>
        </w:rPr>
      </w:pPr>
    </w:p>
    <w:p w:rsidR="00232C89" w:rsidRDefault="00232C89" w:rsidP="00232C89">
      <w:pPr>
        <w:jc w:val="center"/>
        <w:rPr>
          <w:rFonts w:cs="Arial"/>
          <w:b/>
          <w:szCs w:val="20"/>
        </w:rPr>
      </w:pPr>
      <w:r>
        <w:rPr>
          <w:rFonts w:cs="Arial"/>
          <w:b/>
          <w:szCs w:val="20"/>
        </w:rPr>
        <w:t>10. člen</w:t>
      </w:r>
    </w:p>
    <w:p w:rsidR="00232C89" w:rsidRDefault="00232C89" w:rsidP="00232C89">
      <w:pPr>
        <w:jc w:val="center"/>
        <w:rPr>
          <w:rFonts w:cs="Arial"/>
          <w:szCs w:val="20"/>
        </w:rPr>
      </w:pPr>
    </w:p>
    <w:p w:rsidR="00232C89" w:rsidRDefault="00232C89" w:rsidP="00232C89">
      <w:pPr>
        <w:jc w:val="both"/>
        <w:rPr>
          <w:rFonts w:cs="Arial"/>
          <w:szCs w:val="20"/>
        </w:rPr>
      </w:pPr>
      <w:r>
        <w:rPr>
          <w:rFonts w:cs="Arial"/>
          <w:szCs w:val="20"/>
        </w:rPr>
        <w:t>Tretji odstavek 42. člena se spremeni tako, da se glasi:</w:t>
      </w:r>
    </w:p>
    <w:p w:rsidR="00232C89" w:rsidRDefault="00232C89" w:rsidP="00232C89">
      <w:pPr>
        <w:jc w:val="both"/>
        <w:rPr>
          <w:rFonts w:cs="Arial"/>
          <w:szCs w:val="20"/>
        </w:rPr>
      </w:pPr>
      <w:r>
        <w:rPr>
          <w:rFonts w:cs="Arial"/>
          <w:szCs w:val="20"/>
        </w:rPr>
        <w:t>»(3) Dostop do digitalne oblike načrta upravljanja voda ter podatkov in informacij iz načrta upravljanja voda se zagotovi preko spletnih strani ministrstva.«.</w:t>
      </w:r>
    </w:p>
    <w:p w:rsidR="00232C89" w:rsidRDefault="00232C89" w:rsidP="00232C89">
      <w:pPr>
        <w:jc w:val="center"/>
        <w:rPr>
          <w:rFonts w:cs="Arial"/>
          <w:szCs w:val="20"/>
        </w:rPr>
      </w:pPr>
    </w:p>
    <w:p w:rsidR="00232C89" w:rsidRDefault="00232C89" w:rsidP="00232C89">
      <w:pPr>
        <w:jc w:val="both"/>
        <w:rPr>
          <w:rFonts w:cs="Arial"/>
          <w:szCs w:val="20"/>
        </w:rPr>
      </w:pPr>
      <w:r>
        <w:rPr>
          <w:rFonts w:cs="Arial"/>
          <w:szCs w:val="20"/>
        </w:rPr>
        <w:t>Četrti odstavek se črta.</w:t>
      </w:r>
    </w:p>
    <w:p w:rsidR="00232C89" w:rsidRDefault="00232C89" w:rsidP="00232C89">
      <w:pPr>
        <w:jc w:val="center"/>
        <w:rPr>
          <w:rFonts w:cs="Arial"/>
          <w:szCs w:val="20"/>
        </w:rPr>
      </w:pPr>
    </w:p>
    <w:p w:rsidR="00232C89" w:rsidRDefault="00232C89" w:rsidP="00232C89">
      <w:pPr>
        <w:jc w:val="center"/>
        <w:rPr>
          <w:rFonts w:cs="Arial"/>
          <w:b/>
          <w:szCs w:val="20"/>
        </w:rPr>
      </w:pPr>
      <w:r>
        <w:rPr>
          <w:rFonts w:cs="Arial"/>
          <w:b/>
          <w:szCs w:val="20"/>
        </w:rPr>
        <w:t>11. člen</w:t>
      </w:r>
    </w:p>
    <w:p w:rsidR="00232C89" w:rsidRDefault="00232C89" w:rsidP="00232C89">
      <w:pPr>
        <w:jc w:val="center"/>
        <w:rPr>
          <w:rFonts w:cs="Arial"/>
          <w:szCs w:val="20"/>
        </w:rPr>
      </w:pPr>
    </w:p>
    <w:p w:rsidR="00232C89" w:rsidRDefault="00232C89" w:rsidP="00232C89">
      <w:pPr>
        <w:jc w:val="both"/>
        <w:rPr>
          <w:rFonts w:cs="Arial"/>
          <w:szCs w:val="20"/>
        </w:rPr>
      </w:pPr>
      <w:r>
        <w:rPr>
          <w:rFonts w:cs="Arial"/>
          <w:szCs w:val="20"/>
        </w:rPr>
        <w:t>44. člen se črta.</w:t>
      </w:r>
    </w:p>
    <w:p w:rsidR="00232C89" w:rsidRDefault="00232C89" w:rsidP="00232C89">
      <w:pPr>
        <w:jc w:val="both"/>
        <w:rPr>
          <w:rFonts w:cs="Arial"/>
          <w:szCs w:val="20"/>
        </w:rPr>
      </w:pPr>
    </w:p>
    <w:p w:rsidR="00232C89" w:rsidRDefault="00232C89" w:rsidP="00232C89">
      <w:pPr>
        <w:jc w:val="center"/>
        <w:rPr>
          <w:rFonts w:cs="Arial"/>
          <w:b/>
          <w:szCs w:val="20"/>
        </w:rPr>
      </w:pPr>
      <w:r>
        <w:rPr>
          <w:rFonts w:cs="Arial"/>
          <w:b/>
          <w:szCs w:val="20"/>
        </w:rPr>
        <w:t>12. člen</w:t>
      </w:r>
    </w:p>
    <w:p w:rsidR="00232C89" w:rsidRDefault="00232C89" w:rsidP="00232C89">
      <w:pPr>
        <w:jc w:val="center"/>
        <w:rPr>
          <w:rFonts w:cs="Arial"/>
          <w:szCs w:val="20"/>
        </w:rPr>
      </w:pPr>
    </w:p>
    <w:p w:rsidR="00232C89" w:rsidRDefault="00232C89" w:rsidP="00232C89">
      <w:pPr>
        <w:jc w:val="both"/>
        <w:rPr>
          <w:rFonts w:cs="Arial"/>
          <w:szCs w:val="20"/>
        </w:rPr>
      </w:pPr>
      <w:r>
        <w:rPr>
          <w:rFonts w:cs="Arial"/>
          <w:szCs w:val="20"/>
        </w:rPr>
        <w:t>Priloga 1 se nadomesti z novo prilogo 1, ki je kot priloga sestavni del te uredbe.</w:t>
      </w:r>
    </w:p>
    <w:p w:rsidR="00232C89" w:rsidRDefault="00232C89" w:rsidP="00232C89">
      <w:pPr>
        <w:jc w:val="center"/>
        <w:rPr>
          <w:rFonts w:cs="Arial"/>
          <w:szCs w:val="20"/>
        </w:rPr>
      </w:pPr>
    </w:p>
    <w:p w:rsidR="00232C89" w:rsidRDefault="00232C89" w:rsidP="00232C89">
      <w:pPr>
        <w:jc w:val="center"/>
        <w:rPr>
          <w:rFonts w:cs="Arial"/>
          <w:b/>
          <w:szCs w:val="20"/>
        </w:rPr>
      </w:pPr>
      <w:r>
        <w:rPr>
          <w:rFonts w:cs="Arial"/>
          <w:b/>
          <w:szCs w:val="20"/>
        </w:rPr>
        <w:t>13. člen</w:t>
      </w:r>
    </w:p>
    <w:p w:rsidR="00232C89" w:rsidRDefault="00232C89" w:rsidP="00232C89">
      <w:pPr>
        <w:jc w:val="center"/>
        <w:rPr>
          <w:rFonts w:cs="Arial"/>
          <w:szCs w:val="20"/>
        </w:rPr>
      </w:pPr>
    </w:p>
    <w:p w:rsidR="00232C89" w:rsidRDefault="00232C89" w:rsidP="00232C89">
      <w:pPr>
        <w:jc w:val="both"/>
        <w:rPr>
          <w:rFonts w:cs="Arial"/>
          <w:szCs w:val="20"/>
        </w:rPr>
      </w:pPr>
      <w:r>
        <w:rPr>
          <w:rFonts w:cs="Arial"/>
          <w:szCs w:val="20"/>
        </w:rPr>
        <w:t xml:space="preserve">(1) Predhodni program ukrepov iz prve alineje drugega odstavka </w:t>
      </w:r>
      <w:proofErr w:type="spellStart"/>
      <w:r>
        <w:rPr>
          <w:rFonts w:cs="Arial"/>
          <w:szCs w:val="20"/>
        </w:rPr>
        <w:t>29.c</w:t>
      </w:r>
      <w:proofErr w:type="spellEnd"/>
      <w:r>
        <w:rPr>
          <w:rFonts w:cs="Arial"/>
          <w:szCs w:val="20"/>
        </w:rPr>
        <w:t xml:space="preserve"> člena uredbe se izdela najpozneje do 22. decembra 2018.</w:t>
      </w:r>
    </w:p>
    <w:p w:rsidR="00232C89" w:rsidRDefault="00232C89" w:rsidP="00232C89">
      <w:pPr>
        <w:jc w:val="both"/>
        <w:rPr>
          <w:rFonts w:cs="Arial"/>
          <w:szCs w:val="20"/>
        </w:rPr>
      </w:pPr>
    </w:p>
    <w:p w:rsidR="00232C89" w:rsidRDefault="00232C89" w:rsidP="00232C89">
      <w:pPr>
        <w:jc w:val="both"/>
        <w:rPr>
          <w:rFonts w:cs="Arial"/>
          <w:szCs w:val="20"/>
        </w:rPr>
      </w:pPr>
      <w:r>
        <w:rPr>
          <w:rFonts w:cs="Arial"/>
          <w:szCs w:val="20"/>
        </w:rPr>
        <w:t xml:space="preserve">(2) Končni program ukrepov iz druge alineje drugega odstavka </w:t>
      </w:r>
      <w:proofErr w:type="spellStart"/>
      <w:r>
        <w:rPr>
          <w:rFonts w:cs="Arial"/>
          <w:szCs w:val="20"/>
        </w:rPr>
        <w:t>29.c</w:t>
      </w:r>
      <w:proofErr w:type="spellEnd"/>
      <w:r>
        <w:rPr>
          <w:rFonts w:cs="Arial"/>
          <w:szCs w:val="20"/>
        </w:rPr>
        <w:t xml:space="preserve"> člena se izdela najpozneje do 22. decembra 2021 in se izvede ter postane operativen najpozneje od 22. decembra 2024.</w:t>
      </w:r>
    </w:p>
    <w:p w:rsidR="00232C89" w:rsidRDefault="00232C89" w:rsidP="00232C89">
      <w:pPr>
        <w:jc w:val="center"/>
        <w:rPr>
          <w:rFonts w:cs="Arial"/>
          <w:szCs w:val="20"/>
        </w:rPr>
      </w:pPr>
    </w:p>
    <w:p w:rsidR="00232C89" w:rsidRDefault="00232C89" w:rsidP="00232C89">
      <w:pPr>
        <w:jc w:val="center"/>
        <w:rPr>
          <w:rFonts w:cs="Arial"/>
          <w:b/>
          <w:szCs w:val="20"/>
        </w:rPr>
      </w:pPr>
      <w:r>
        <w:rPr>
          <w:rFonts w:cs="Arial"/>
          <w:b/>
          <w:szCs w:val="20"/>
        </w:rPr>
        <w:t>14. člen</w:t>
      </w:r>
    </w:p>
    <w:p w:rsidR="00232C89" w:rsidRDefault="00232C89" w:rsidP="00232C89">
      <w:pPr>
        <w:jc w:val="both"/>
        <w:rPr>
          <w:rFonts w:cs="Arial"/>
          <w:szCs w:val="20"/>
        </w:rPr>
      </w:pPr>
    </w:p>
    <w:p w:rsidR="00232C89" w:rsidRDefault="00232C89" w:rsidP="00232C89">
      <w:pPr>
        <w:jc w:val="both"/>
        <w:rPr>
          <w:rFonts w:cs="Arial"/>
          <w:szCs w:val="20"/>
        </w:rPr>
      </w:pPr>
      <w:r>
        <w:rPr>
          <w:rFonts w:cs="Arial"/>
          <w:szCs w:val="20"/>
        </w:rPr>
        <w:t>Ta uredba začne veljati naslednji dan po objavi v Uradnem listu Republike Slovenije.</w:t>
      </w:r>
    </w:p>
    <w:p w:rsidR="00232C89" w:rsidRDefault="00232C89" w:rsidP="00232C89">
      <w:pPr>
        <w:rPr>
          <w:rFonts w:cs="Arial"/>
          <w:szCs w:val="20"/>
        </w:rPr>
      </w:pPr>
    </w:p>
    <w:p w:rsidR="00232C89" w:rsidRDefault="00232C89" w:rsidP="00232C89">
      <w:pPr>
        <w:rPr>
          <w:rFonts w:cs="Arial"/>
          <w:szCs w:val="20"/>
        </w:rPr>
      </w:pPr>
      <w:r>
        <w:rPr>
          <w:rFonts w:cs="Arial"/>
          <w:szCs w:val="20"/>
        </w:rPr>
        <w:t>Št. 007-167/2016</w:t>
      </w:r>
    </w:p>
    <w:p w:rsidR="00232C89" w:rsidRDefault="00232C89" w:rsidP="00232C89">
      <w:pPr>
        <w:rPr>
          <w:rFonts w:cs="Arial"/>
          <w:szCs w:val="20"/>
        </w:rPr>
      </w:pPr>
      <w:r>
        <w:rPr>
          <w:rFonts w:cs="Arial"/>
          <w:szCs w:val="20"/>
        </w:rPr>
        <w:t>Ljubljana, dne 19. oktobra 2016</w:t>
      </w:r>
    </w:p>
    <w:p w:rsidR="00232C89" w:rsidRDefault="00232C89" w:rsidP="00232C89">
      <w:pPr>
        <w:rPr>
          <w:rFonts w:cs="Arial"/>
          <w:szCs w:val="20"/>
        </w:rPr>
      </w:pPr>
      <w:r>
        <w:rPr>
          <w:rFonts w:cs="Arial"/>
          <w:szCs w:val="20"/>
        </w:rPr>
        <w:t>EVA 2016-2550-0067</w:t>
      </w:r>
    </w:p>
    <w:p w:rsidR="006511A8" w:rsidRDefault="006511A8" w:rsidP="00FF31D4">
      <w:pPr>
        <w:ind w:left="4956" w:firstLine="708"/>
        <w:jc w:val="center"/>
        <w:rPr>
          <w:rFonts w:cs="Arial"/>
          <w:szCs w:val="20"/>
        </w:rPr>
      </w:pPr>
      <w:r>
        <w:rPr>
          <w:rFonts w:cs="Arial"/>
          <w:szCs w:val="20"/>
        </w:rPr>
        <w:t>Vlada Republike Slovenije</w:t>
      </w:r>
    </w:p>
    <w:p w:rsidR="006511A8" w:rsidRDefault="006511A8" w:rsidP="00B328D8">
      <w:pPr>
        <w:jc w:val="center"/>
        <w:rPr>
          <w:rFonts w:cs="Arial"/>
          <w:szCs w:val="20"/>
        </w:rPr>
      </w:pPr>
      <w:r>
        <w:rPr>
          <w:rFonts w:cs="Arial"/>
          <w:szCs w:val="20"/>
        </w:rPr>
        <w:t xml:space="preserve">                                                                                              dr. Miroslav Cerar l.r.</w:t>
      </w:r>
    </w:p>
    <w:p w:rsidR="005C68E4" w:rsidRDefault="006511A8" w:rsidP="00B328D8">
      <w:pPr>
        <w:jc w:val="center"/>
        <w:rPr>
          <w:rFonts w:cs="Arial"/>
          <w:szCs w:val="20"/>
        </w:rPr>
      </w:pPr>
      <w:r>
        <w:rPr>
          <w:rFonts w:cs="Arial"/>
          <w:szCs w:val="20"/>
        </w:rPr>
        <w:t xml:space="preserve">                                                                                            predsednik</w:t>
      </w:r>
    </w:p>
    <w:p w:rsidR="005C68E4" w:rsidRDefault="005C68E4">
      <w:pPr>
        <w:spacing w:after="200" w:line="276" w:lineRule="auto"/>
        <w:rPr>
          <w:rFonts w:cs="Arial"/>
          <w:szCs w:val="20"/>
        </w:rPr>
      </w:pPr>
      <w:r>
        <w:rPr>
          <w:rFonts w:cs="Arial"/>
          <w:szCs w:val="20"/>
        </w:rPr>
        <w:br w:type="page"/>
      </w:r>
    </w:p>
    <w:p w:rsidR="00F8111B" w:rsidRDefault="00790408" w:rsidP="00662508">
      <w:pPr>
        <w:jc w:val="center"/>
      </w:pPr>
      <w:r>
        <w:lastRenderedPageBreak/>
        <w:t>Priloga</w:t>
      </w:r>
    </w:p>
    <w:p w:rsidR="00790408" w:rsidRDefault="00662508" w:rsidP="00662508">
      <w:pPr>
        <w:tabs>
          <w:tab w:val="left" w:pos="1185"/>
        </w:tabs>
      </w:pPr>
      <w:r>
        <w:tab/>
      </w:r>
    </w:p>
    <w:p w:rsidR="00790408" w:rsidRDefault="00790408" w:rsidP="00B328D8">
      <w:r>
        <w:t>»</w:t>
      </w:r>
      <w:r w:rsidR="00B06918" w:rsidRPr="00CD5B41">
        <w:rPr>
          <w:b/>
        </w:rPr>
        <w:t>PRILOGA</w:t>
      </w:r>
      <w:r w:rsidRPr="00CD5B41">
        <w:rPr>
          <w:b/>
        </w:rPr>
        <w:t xml:space="preserve"> </w:t>
      </w:r>
      <w:r w:rsidR="007470F2">
        <w:rPr>
          <w:b/>
        </w:rPr>
        <w:t>1</w:t>
      </w:r>
      <w:r w:rsidRPr="00CD5B41">
        <w:rPr>
          <w:b/>
        </w:rPr>
        <w:t xml:space="preserve">: Snovi za prikaz kemijskega stanja </w:t>
      </w:r>
      <w:r w:rsidR="00F96246" w:rsidRPr="00CD5B41">
        <w:rPr>
          <w:b/>
        </w:rPr>
        <w:t xml:space="preserve">površinskih voda </w:t>
      </w:r>
      <w:r w:rsidRPr="00CD5B41">
        <w:rPr>
          <w:b/>
        </w:rPr>
        <w:t>na dodatnih kartah</w:t>
      </w:r>
    </w:p>
    <w:p w:rsidR="00790408" w:rsidRDefault="00790408" w:rsidP="00B328D8"/>
    <w:p w:rsidR="005A7114" w:rsidRDefault="00FF31D4" w:rsidP="00B328D8">
      <w:r>
        <w:t>Preglednica 1:</w:t>
      </w:r>
      <w:r w:rsidR="00790408">
        <w:t xml:space="preserve"> </w:t>
      </w:r>
      <w:r w:rsidR="00B06918">
        <w:t>S</w:t>
      </w:r>
      <w:r w:rsidRPr="005A7114">
        <w:t xml:space="preserve">novi, ki se obnašajo kot splošno prisotne </w:t>
      </w:r>
      <w:r w:rsidR="00156C50">
        <w:t xml:space="preserve">snovi, </w:t>
      </w:r>
      <w:r w:rsidR="00156C50">
        <w:rPr>
          <w:rFonts w:cs="Arial"/>
          <w:szCs w:val="20"/>
        </w:rPr>
        <w:t>ki obsto</w:t>
      </w:r>
      <w:r w:rsidR="004E0EF2">
        <w:rPr>
          <w:rFonts w:cs="Arial"/>
          <w:szCs w:val="20"/>
        </w:rPr>
        <w:t>jne, se kopičijo in so strupene</w:t>
      </w:r>
    </w:p>
    <w:p w:rsidR="00FF31D4" w:rsidRDefault="00FF31D4" w:rsidP="00B328D8"/>
    <w:tbl>
      <w:tblPr>
        <w:tblStyle w:val="Tabelamrea"/>
        <w:tblW w:w="0" w:type="auto"/>
        <w:jc w:val="center"/>
        <w:tblLook w:val="04A0" w:firstRow="1" w:lastRow="0" w:firstColumn="1" w:lastColumn="0" w:noHBand="0" w:noVBand="1"/>
      </w:tblPr>
      <w:tblGrid>
        <w:gridCol w:w="2376"/>
        <w:gridCol w:w="5245"/>
      </w:tblGrid>
      <w:tr w:rsidR="00FF31D4" w:rsidRPr="00FF31D4" w:rsidTr="00CD5B41">
        <w:trPr>
          <w:trHeight w:val="340"/>
          <w:jc w:val="center"/>
        </w:trPr>
        <w:tc>
          <w:tcPr>
            <w:tcW w:w="2376" w:type="dxa"/>
            <w:vAlign w:val="center"/>
          </w:tcPr>
          <w:p w:rsidR="00FF31D4" w:rsidRPr="00FF31D4" w:rsidRDefault="00FF31D4" w:rsidP="007A5975">
            <w:pPr>
              <w:jc w:val="center"/>
              <w:rPr>
                <w:b/>
              </w:rPr>
            </w:pPr>
            <w:r w:rsidRPr="0016409B">
              <w:rPr>
                <w:b/>
              </w:rPr>
              <w:t>Številka CAS</w:t>
            </w:r>
            <w:hyperlink r:id="rId7" w:anchor="ntr1-L_2013226SL.01001402-E0001" w:history="1">
              <w:r w:rsidRPr="00A83654">
                <w:rPr>
                  <w:b/>
                  <w:vertAlign w:val="superscript"/>
                </w:rPr>
                <w:t>(1)</w:t>
              </w:r>
            </w:hyperlink>
          </w:p>
        </w:tc>
        <w:tc>
          <w:tcPr>
            <w:tcW w:w="5245" w:type="dxa"/>
            <w:vAlign w:val="center"/>
          </w:tcPr>
          <w:p w:rsidR="00FF31D4" w:rsidRPr="00FF31D4" w:rsidRDefault="00FF31D4" w:rsidP="00CD5B41">
            <w:pPr>
              <w:rPr>
                <w:b/>
              </w:rPr>
            </w:pPr>
            <w:r w:rsidRPr="0016409B">
              <w:rPr>
                <w:b/>
              </w:rPr>
              <w:t xml:space="preserve">Ime </w:t>
            </w:r>
            <w:r w:rsidR="007E7DBD">
              <w:rPr>
                <w:b/>
              </w:rPr>
              <w:t xml:space="preserve">prednostne </w:t>
            </w:r>
            <w:r w:rsidRPr="0016409B">
              <w:rPr>
                <w:b/>
              </w:rPr>
              <w:t>snovi</w:t>
            </w:r>
          </w:p>
        </w:tc>
      </w:tr>
      <w:tr w:rsidR="00FF31D4" w:rsidTr="00CD5B41">
        <w:trPr>
          <w:trHeight w:val="340"/>
          <w:jc w:val="center"/>
        </w:trPr>
        <w:tc>
          <w:tcPr>
            <w:tcW w:w="2376" w:type="dxa"/>
            <w:vAlign w:val="center"/>
          </w:tcPr>
          <w:p w:rsidR="0016409B" w:rsidRPr="0016409B" w:rsidRDefault="00FF31D4" w:rsidP="007A5975">
            <w:pPr>
              <w:spacing w:before="60" w:after="60" w:line="240" w:lineRule="auto"/>
              <w:jc w:val="center"/>
            </w:pPr>
            <w:r w:rsidRPr="0016409B">
              <w:t>32534-81-9</w:t>
            </w:r>
          </w:p>
        </w:tc>
        <w:tc>
          <w:tcPr>
            <w:tcW w:w="5245" w:type="dxa"/>
            <w:vAlign w:val="center"/>
          </w:tcPr>
          <w:p w:rsidR="0016409B" w:rsidRPr="0016409B" w:rsidRDefault="00B65277" w:rsidP="00CD5B41">
            <w:pPr>
              <w:spacing w:before="60" w:after="60" w:line="240" w:lineRule="auto"/>
            </w:pPr>
            <w:r>
              <w:t xml:space="preserve">bromirani </w:t>
            </w:r>
            <w:proofErr w:type="spellStart"/>
            <w:r>
              <w:t>difeniletri</w:t>
            </w:r>
            <w:proofErr w:type="spellEnd"/>
            <w:r w:rsidR="00FF31D4" w:rsidRPr="0016409B">
              <w:t xml:space="preserve"> </w:t>
            </w:r>
          </w:p>
        </w:tc>
      </w:tr>
      <w:tr w:rsidR="00FF31D4" w:rsidTr="00CD5B41">
        <w:trPr>
          <w:trHeight w:val="340"/>
          <w:jc w:val="center"/>
        </w:trPr>
        <w:tc>
          <w:tcPr>
            <w:tcW w:w="2376" w:type="dxa"/>
            <w:vAlign w:val="center"/>
          </w:tcPr>
          <w:p w:rsidR="0016409B" w:rsidRPr="0016409B" w:rsidRDefault="00FF31D4" w:rsidP="007A5975">
            <w:pPr>
              <w:spacing w:before="60" w:after="60" w:line="240" w:lineRule="auto"/>
              <w:jc w:val="center"/>
            </w:pPr>
            <w:r w:rsidRPr="0016409B">
              <w:t>7439-97-6</w:t>
            </w:r>
          </w:p>
        </w:tc>
        <w:tc>
          <w:tcPr>
            <w:tcW w:w="5245" w:type="dxa"/>
            <w:vAlign w:val="center"/>
          </w:tcPr>
          <w:p w:rsidR="0016409B" w:rsidRPr="0016409B" w:rsidRDefault="00FF31D4" w:rsidP="00CD5B41">
            <w:pPr>
              <w:spacing w:before="60" w:after="60" w:line="240" w:lineRule="auto"/>
            </w:pPr>
            <w:r w:rsidRPr="0016409B">
              <w:t>živo srebro in njegove spojine</w:t>
            </w:r>
          </w:p>
        </w:tc>
      </w:tr>
      <w:tr w:rsidR="00FF31D4" w:rsidTr="00CD5B41">
        <w:trPr>
          <w:trHeight w:val="340"/>
          <w:jc w:val="center"/>
        </w:trPr>
        <w:tc>
          <w:tcPr>
            <w:tcW w:w="2376" w:type="dxa"/>
            <w:vAlign w:val="center"/>
          </w:tcPr>
          <w:p w:rsidR="0016409B" w:rsidRPr="0016409B" w:rsidRDefault="00FF31D4" w:rsidP="007A5975">
            <w:pPr>
              <w:spacing w:before="60" w:after="60" w:line="240" w:lineRule="auto"/>
              <w:jc w:val="center"/>
            </w:pPr>
            <w:r w:rsidRPr="0016409B">
              <w:t>ni relevantno</w:t>
            </w:r>
          </w:p>
        </w:tc>
        <w:tc>
          <w:tcPr>
            <w:tcW w:w="5245" w:type="dxa"/>
            <w:vAlign w:val="center"/>
          </w:tcPr>
          <w:p w:rsidR="0016409B" w:rsidRPr="0016409B" w:rsidRDefault="00FF31D4" w:rsidP="00CD5B41">
            <w:pPr>
              <w:spacing w:before="60" w:after="60" w:line="240" w:lineRule="auto"/>
            </w:pPr>
            <w:proofErr w:type="spellStart"/>
            <w:r w:rsidRPr="0016409B">
              <w:t>p</w:t>
            </w:r>
            <w:r w:rsidR="00B65277">
              <w:t>oliaromatski</w:t>
            </w:r>
            <w:proofErr w:type="spellEnd"/>
            <w:r w:rsidR="00B65277">
              <w:t xml:space="preserve"> ogljikovodiki (PAH)</w:t>
            </w:r>
            <w:r w:rsidR="00B65277" w:rsidRPr="0016409B">
              <w:t xml:space="preserve"> </w:t>
            </w:r>
          </w:p>
        </w:tc>
      </w:tr>
      <w:tr w:rsidR="00FF31D4" w:rsidTr="00CD5B41">
        <w:trPr>
          <w:trHeight w:val="340"/>
          <w:jc w:val="center"/>
        </w:trPr>
        <w:tc>
          <w:tcPr>
            <w:tcW w:w="2376" w:type="dxa"/>
            <w:vAlign w:val="center"/>
          </w:tcPr>
          <w:p w:rsidR="0016409B" w:rsidRPr="0016409B" w:rsidRDefault="00FF31D4" w:rsidP="007A5975">
            <w:pPr>
              <w:spacing w:before="60" w:after="60" w:line="240" w:lineRule="auto"/>
              <w:ind w:left="301"/>
              <w:jc w:val="center"/>
            </w:pPr>
            <w:r w:rsidRPr="0016409B">
              <w:t>50-32-8</w:t>
            </w:r>
          </w:p>
        </w:tc>
        <w:tc>
          <w:tcPr>
            <w:tcW w:w="5245" w:type="dxa"/>
            <w:vAlign w:val="center"/>
          </w:tcPr>
          <w:p w:rsidR="0016409B" w:rsidRPr="0016409B" w:rsidRDefault="00FF31D4" w:rsidP="00CD5B41">
            <w:pPr>
              <w:spacing w:before="60" w:after="60" w:line="240" w:lineRule="auto"/>
              <w:ind w:left="301"/>
            </w:pPr>
            <w:proofErr w:type="spellStart"/>
            <w:r w:rsidRPr="0016409B">
              <w:t>benzo</w:t>
            </w:r>
            <w:proofErr w:type="spellEnd"/>
            <w:r w:rsidRPr="0016409B">
              <w:t>(a)</w:t>
            </w:r>
            <w:proofErr w:type="spellStart"/>
            <w:r w:rsidRPr="0016409B">
              <w:t>piren</w:t>
            </w:r>
            <w:proofErr w:type="spellEnd"/>
          </w:p>
        </w:tc>
      </w:tr>
      <w:tr w:rsidR="00FF31D4" w:rsidTr="00CD5B41">
        <w:trPr>
          <w:trHeight w:val="340"/>
          <w:jc w:val="center"/>
        </w:trPr>
        <w:tc>
          <w:tcPr>
            <w:tcW w:w="2376" w:type="dxa"/>
            <w:vAlign w:val="center"/>
          </w:tcPr>
          <w:p w:rsidR="0016409B" w:rsidRPr="0016409B" w:rsidRDefault="00FF31D4" w:rsidP="007A5975">
            <w:pPr>
              <w:spacing w:before="60" w:after="60" w:line="240" w:lineRule="auto"/>
              <w:ind w:left="301"/>
              <w:jc w:val="center"/>
            </w:pPr>
            <w:r w:rsidRPr="0016409B">
              <w:t>205-99-2</w:t>
            </w:r>
          </w:p>
        </w:tc>
        <w:tc>
          <w:tcPr>
            <w:tcW w:w="5245" w:type="dxa"/>
            <w:vAlign w:val="center"/>
          </w:tcPr>
          <w:p w:rsidR="0016409B" w:rsidRPr="0016409B" w:rsidRDefault="00FF31D4" w:rsidP="00CD5B41">
            <w:pPr>
              <w:spacing w:before="60" w:after="60" w:line="240" w:lineRule="auto"/>
              <w:ind w:left="301"/>
            </w:pPr>
            <w:proofErr w:type="spellStart"/>
            <w:r w:rsidRPr="0016409B">
              <w:t>benzo</w:t>
            </w:r>
            <w:proofErr w:type="spellEnd"/>
            <w:r w:rsidRPr="0016409B">
              <w:t>(b)</w:t>
            </w:r>
            <w:proofErr w:type="spellStart"/>
            <w:r w:rsidRPr="0016409B">
              <w:t>fluoranten</w:t>
            </w:r>
            <w:proofErr w:type="spellEnd"/>
          </w:p>
        </w:tc>
      </w:tr>
      <w:tr w:rsidR="00FF31D4" w:rsidTr="00CD5B41">
        <w:trPr>
          <w:trHeight w:val="340"/>
          <w:jc w:val="center"/>
        </w:trPr>
        <w:tc>
          <w:tcPr>
            <w:tcW w:w="2376" w:type="dxa"/>
            <w:vAlign w:val="center"/>
          </w:tcPr>
          <w:p w:rsidR="0016409B" w:rsidRPr="0016409B" w:rsidRDefault="00FF31D4" w:rsidP="007A5975">
            <w:pPr>
              <w:spacing w:before="60" w:after="60" w:line="240" w:lineRule="auto"/>
              <w:ind w:left="301"/>
              <w:jc w:val="center"/>
            </w:pPr>
            <w:r w:rsidRPr="0016409B">
              <w:t>207-08-9</w:t>
            </w:r>
          </w:p>
        </w:tc>
        <w:tc>
          <w:tcPr>
            <w:tcW w:w="5245" w:type="dxa"/>
            <w:vAlign w:val="center"/>
          </w:tcPr>
          <w:p w:rsidR="0016409B" w:rsidRPr="0016409B" w:rsidRDefault="00FF31D4" w:rsidP="00CD5B41">
            <w:pPr>
              <w:spacing w:before="60" w:after="60" w:line="240" w:lineRule="auto"/>
              <w:ind w:left="301"/>
            </w:pPr>
            <w:proofErr w:type="spellStart"/>
            <w:r w:rsidRPr="0016409B">
              <w:t>benzo</w:t>
            </w:r>
            <w:proofErr w:type="spellEnd"/>
            <w:r w:rsidRPr="0016409B">
              <w:t>(k)</w:t>
            </w:r>
            <w:proofErr w:type="spellStart"/>
            <w:r w:rsidRPr="0016409B">
              <w:t>fluoranten</w:t>
            </w:r>
            <w:proofErr w:type="spellEnd"/>
          </w:p>
        </w:tc>
      </w:tr>
      <w:tr w:rsidR="00FF31D4" w:rsidTr="00CD5B41">
        <w:trPr>
          <w:trHeight w:val="340"/>
          <w:jc w:val="center"/>
        </w:trPr>
        <w:tc>
          <w:tcPr>
            <w:tcW w:w="2376" w:type="dxa"/>
            <w:vAlign w:val="center"/>
          </w:tcPr>
          <w:p w:rsidR="0016409B" w:rsidRPr="0016409B" w:rsidRDefault="00FF31D4" w:rsidP="007A5975">
            <w:pPr>
              <w:spacing w:before="60" w:after="60" w:line="240" w:lineRule="auto"/>
              <w:ind w:left="301"/>
              <w:jc w:val="center"/>
            </w:pPr>
            <w:r w:rsidRPr="0016409B">
              <w:t>191-24-2</w:t>
            </w:r>
          </w:p>
        </w:tc>
        <w:tc>
          <w:tcPr>
            <w:tcW w:w="5245" w:type="dxa"/>
            <w:vAlign w:val="center"/>
          </w:tcPr>
          <w:p w:rsidR="0016409B" w:rsidRPr="0016409B" w:rsidRDefault="00FF31D4" w:rsidP="00CD5B41">
            <w:pPr>
              <w:spacing w:before="60" w:after="60" w:line="240" w:lineRule="auto"/>
              <w:ind w:left="301"/>
            </w:pPr>
            <w:proofErr w:type="spellStart"/>
            <w:r w:rsidRPr="0016409B">
              <w:t>benzo</w:t>
            </w:r>
            <w:proofErr w:type="spellEnd"/>
            <w:r w:rsidRPr="0016409B">
              <w:t>(g,h,i)perilen</w:t>
            </w:r>
          </w:p>
        </w:tc>
      </w:tr>
      <w:tr w:rsidR="00FF31D4" w:rsidTr="00CD5B41">
        <w:trPr>
          <w:trHeight w:val="340"/>
          <w:jc w:val="center"/>
        </w:trPr>
        <w:tc>
          <w:tcPr>
            <w:tcW w:w="2376" w:type="dxa"/>
            <w:vAlign w:val="center"/>
          </w:tcPr>
          <w:p w:rsidR="0016409B" w:rsidRPr="0016409B" w:rsidRDefault="00FF31D4" w:rsidP="007A5975">
            <w:pPr>
              <w:spacing w:before="60" w:after="60" w:line="240" w:lineRule="auto"/>
              <w:ind w:left="301"/>
              <w:jc w:val="center"/>
            </w:pPr>
            <w:r w:rsidRPr="0016409B">
              <w:t>193-39-5</w:t>
            </w:r>
          </w:p>
        </w:tc>
        <w:tc>
          <w:tcPr>
            <w:tcW w:w="5245" w:type="dxa"/>
            <w:vAlign w:val="center"/>
          </w:tcPr>
          <w:p w:rsidR="0016409B" w:rsidRPr="0016409B" w:rsidRDefault="00FF31D4" w:rsidP="00CD5B41">
            <w:pPr>
              <w:spacing w:before="60" w:after="60" w:line="240" w:lineRule="auto"/>
              <w:ind w:left="301"/>
            </w:pPr>
            <w:proofErr w:type="spellStart"/>
            <w:r w:rsidRPr="0016409B">
              <w:t>indeno</w:t>
            </w:r>
            <w:proofErr w:type="spellEnd"/>
            <w:r w:rsidRPr="0016409B">
              <w:t>(1,2,3-</w:t>
            </w:r>
            <w:proofErr w:type="spellStart"/>
            <w:r w:rsidRPr="0016409B">
              <w:t>cd</w:t>
            </w:r>
            <w:proofErr w:type="spellEnd"/>
            <w:r w:rsidRPr="0016409B">
              <w:t>)</w:t>
            </w:r>
            <w:proofErr w:type="spellStart"/>
            <w:r w:rsidRPr="0016409B">
              <w:t>piren</w:t>
            </w:r>
            <w:proofErr w:type="spellEnd"/>
          </w:p>
        </w:tc>
      </w:tr>
      <w:tr w:rsidR="00FF31D4" w:rsidTr="00CD5B41">
        <w:trPr>
          <w:trHeight w:val="340"/>
          <w:jc w:val="center"/>
        </w:trPr>
        <w:tc>
          <w:tcPr>
            <w:tcW w:w="2376" w:type="dxa"/>
            <w:vAlign w:val="center"/>
          </w:tcPr>
          <w:p w:rsidR="0016409B" w:rsidRPr="0016409B" w:rsidRDefault="00FF31D4" w:rsidP="007A5975">
            <w:pPr>
              <w:spacing w:before="60" w:after="60" w:line="240" w:lineRule="auto"/>
              <w:jc w:val="center"/>
            </w:pPr>
            <w:r w:rsidRPr="0016409B">
              <w:t>36643-28-4</w:t>
            </w:r>
          </w:p>
        </w:tc>
        <w:tc>
          <w:tcPr>
            <w:tcW w:w="5245" w:type="dxa"/>
            <w:vAlign w:val="center"/>
          </w:tcPr>
          <w:p w:rsidR="0016409B" w:rsidRPr="0016409B" w:rsidRDefault="00FF31D4" w:rsidP="00CD5B41">
            <w:pPr>
              <w:spacing w:before="60" w:after="60" w:line="240" w:lineRule="auto"/>
            </w:pPr>
            <w:proofErr w:type="spellStart"/>
            <w:r w:rsidRPr="0016409B">
              <w:t>tributilkositrove</w:t>
            </w:r>
            <w:proofErr w:type="spellEnd"/>
            <w:r w:rsidRPr="0016409B">
              <w:t xml:space="preserve"> spojine (</w:t>
            </w:r>
            <w:proofErr w:type="spellStart"/>
            <w:r w:rsidRPr="0016409B">
              <w:t>tributilkositrov</w:t>
            </w:r>
            <w:proofErr w:type="spellEnd"/>
            <w:r w:rsidRPr="0016409B">
              <w:t xml:space="preserve"> kation)</w:t>
            </w:r>
          </w:p>
        </w:tc>
      </w:tr>
      <w:tr w:rsidR="00FF31D4" w:rsidTr="00CD5B41">
        <w:trPr>
          <w:trHeight w:val="340"/>
          <w:jc w:val="center"/>
        </w:trPr>
        <w:tc>
          <w:tcPr>
            <w:tcW w:w="2376" w:type="dxa"/>
            <w:vAlign w:val="center"/>
          </w:tcPr>
          <w:p w:rsidR="0016409B" w:rsidRPr="0016409B" w:rsidRDefault="00FF31D4" w:rsidP="007A5975">
            <w:pPr>
              <w:spacing w:before="60" w:after="60" w:line="240" w:lineRule="auto"/>
              <w:jc w:val="center"/>
            </w:pPr>
            <w:r w:rsidRPr="0016409B">
              <w:t>1763-23-1</w:t>
            </w:r>
          </w:p>
        </w:tc>
        <w:tc>
          <w:tcPr>
            <w:tcW w:w="5245" w:type="dxa"/>
            <w:vAlign w:val="center"/>
          </w:tcPr>
          <w:p w:rsidR="0016409B" w:rsidRPr="0016409B" w:rsidRDefault="00FF31D4" w:rsidP="00CD5B41">
            <w:pPr>
              <w:spacing w:before="60" w:after="60" w:line="240" w:lineRule="auto"/>
            </w:pPr>
            <w:proofErr w:type="spellStart"/>
            <w:r w:rsidRPr="0016409B">
              <w:t>perfluorooktan</w:t>
            </w:r>
            <w:proofErr w:type="spellEnd"/>
            <w:r w:rsidRPr="0016409B">
              <w:t xml:space="preserve"> sulfonska kislina in njeni derivati (PFOS)</w:t>
            </w:r>
          </w:p>
        </w:tc>
      </w:tr>
      <w:tr w:rsidR="00FF31D4" w:rsidTr="00CD5B41">
        <w:trPr>
          <w:trHeight w:val="340"/>
          <w:jc w:val="center"/>
        </w:trPr>
        <w:tc>
          <w:tcPr>
            <w:tcW w:w="2376" w:type="dxa"/>
            <w:vAlign w:val="center"/>
          </w:tcPr>
          <w:p w:rsidR="0016409B" w:rsidRPr="0016409B" w:rsidRDefault="007A5975" w:rsidP="007A5975">
            <w:pPr>
              <w:spacing w:before="60" w:after="60" w:line="240" w:lineRule="auto"/>
              <w:jc w:val="center"/>
              <w:rPr>
                <w:highlight w:val="yellow"/>
              </w:rPr>
            </w:pPr>
            <w:r>
              <w:rPr>
                <w:vertAlign w:val="superscript"/>
              </w:rPr>
              <w:t>(2)</w:t>
            </w:r>
          </w:p>
        </w:tc>
        <w:tc>
          <w:tcPr>
            <w:tcW w:w="5245" w:type="dxa"/>
            <w:vAlign w:val="center"/>
          </w:tcPr>
          <w:p w:rsidR="0016409B" w:rsidRPr="00F31B66" w:rsidRDefault="00FF31D4" w:rsidP="007A5975">
            <w:pPr>
              <w:spacing w:before="60" w:after="60" w:line="240" w:lineRule="auto"/>
              <w:rPr>
                <w:vertAlign w:val="superscript"/>
              </w:rPr>
            </w:pPr>
            <w:r w:rsidRPr="0016409B">
              <w:t>dioksini in dioksinom podobne spojine</w:t>
            </w:r>
          </w:p>
        </w:tc>
      </w:tr>
      <w:tr w:rsidR="00FF31D4" w:rsidTr="00CD5B41">
        <w:trPr>
          <w:trHeight w:val="340"/>
          <w:jc w:val="center"/>
        </w:trPr>
        <w:tc>
          <w:tcPr>
            <w:tcW w:w="2376" w:type="dxa"/>
            <w:vAlign w:val="center"/>
          </w:tcPr>
          <w:p w:rsidR="0016409B" w:rsidRPr="0016409B" w:rsidRDefault="007A5975" w:rsidP="007A5975">
            <w:pPr>
              <w:spacing w:before="60" w:after="60" w:line="240" w:lineRule="auto"/>
              <w:jc w:val="center"/>
              <w:rPr>
                <w:highlight w:val="yellow"/>
              </w:rPr>
            </w:pPr>
            <w:r>
              <w:rPr>
                <w:vertAlign w:val="superscript"/>
              </w:rPr>
              <w:t>(3)</w:t>
            </w:r>
          </w:p>
        </w:tc>
        <w:tc>
          <w:tcPr>
            <w:tcW w:w="5245" w:type="dxa"/>
            <w:vAlign w:val="center"/>
          </w:tcPr>
          <w:p w:rsidR="0016409B" w:rsidRPr="0016409B" w:rsidRDefault="00FF31D4" w:rsidP="007A5975">
            <w:pPr>
              <w:spacing w:before="60" w:after="60" w:line="240" w:lineRule="auto"/>
            </w:pPr>
            <w:proofErr w:type="spellStart"/>
            <w:r w:rsidRPr="0016409B">
              <w:t>heksabromociklododekan</w:t>
            </w:r>
            <w:proofErr w:type="spellEnd"/>
            <w:r w:rsidRPr="0016409B">
              <w:t xml:space="preserve"> (HBCDD)</w:t>
            </w:r>
          </w:p>
        </w:tc>
      </w:tr>
      <w:tr w:rsidR="00FF31D4" w:rsidTr="00CD5B41">
        <w:trPr>
          <w:trHeight w:val="340"/>
          <w:jc w:val="center"/>
        </w:trPr>
        <w:tc>
          <w:tcPr>
            <w:tcW w:w="2376" w:type="dxa"/>
            <w:vAlign w:val="center"/>
          </w:tcPr>
          <w:p w:rsidR="0016409B" w:rsidRPr="0016409B" w:rsidRDefault="00FF31D4" w:rsidP="007A5975">
            <w:pPr>
              <w:spacing w:before="60" w:after="60" w:line="240" w:lineRule="auto"/>
              <w:jc w:val="center"/>
            </w:pPr>
            <w:r w:rsidRPr="0016409B">
              <w:t>76-44-8</w:t>
            </w:r>
            <w:r w:rsidR="00B65277">
              <w:t xml:space="preserve"> </w:t>
            </w:r>
            <w:r w:rsidRPr="0016409B">
              <w:t>/</w:t>
            </w:r>
            <w:r w:rsidR="00B65277">
              <w:t xml:space="preserve"> </w:t>
            </w:r>
            <w:r w:rsidRPr="0016409B">
              <w:t>1024-57-3</w:t>
            </w:r>
          </w:p>
        </w:tc>
        <w:tc>
          <w:tcPr>
            <w:tcW w:w="5245" w:type="dxa"/>
            <w:vAlign w:val="center"/>
          </w:tcPr>
          <w:p w:rsidR="0016409B" w:rsidRPr="0016409B" w:rsidRDefault="00FF31D4" w:rsidP="00CD5B41">
            <w:pPr>
              <w:spacing w:before="60" w:after="60" w:line="240" w:lineRule="auto"/>
            </w:pPr>
            <w:proofErr w:type="spellStart"/>
            <w:r w:rsidRPr="0016409B">
              <w:t>heptaklor</w:t>
            </w:r>
            <w:proofErr w:type="spellEnd"/>
            <w:r w:rsidRPr="0016409B">
              <w:t xml:space="preserve"> in </w:t>
            </w:r>
            <w:proofErr w:type="spellStart"/>
            <w:r w:rsidRPr="0016409B">
              <w:t>heptaklor</w:t>
            </w:r>
            <w:proofErr w:type="spellEnd"/>
            <w:r w:rsidRPr="0016409B">
              <w:t xml:space="preserve"> epoksid</w:t>
            </w:r>
          </w:p>
        </w:tc>
      </w:tr>
    </w:tbl>
    <w:p w:rsidR="005A7114" w:rsidRDefault="00A83654" w:rsidP="00A83654">
      <w:pPr>
        <w:ind w:left="708"/>
      </w:pPr>
      <w:r w:rsidRPr="007E7DBD">
        <w:rPr>
          <w:vertAlign w:val="superscript"/>
        </w:rPr>
        <w:t>(1)</w:t>
      </w:r>
      <w:r>
        <w:tab/>
      </w:r>
      <w:r w:rsidRPr="00A83654">
        <w:t xml:space="preserve">CAS: </w:t>
      </w:r>
      <w:r w:rsidR="007E7DBD">
        <w:t>Služba za izmenjavo kemičnih izvlečkov</w:t>
      </w:r>
      <w:r w:rsidR="007A5975">
        <w:t>.</w:t>
      </w:r>
    </w:p>
    <w:p w:rsidR="007A5975" w:rsidRDefault="00F31B66" w:rsidP="007A5975">
      <w:pPr>
        <w:ind w:left="708"/>
      </w:pPr>
      <w:r>
        <w:rPr>
          <w:vertAlign w:val="superscript"/>
        </w:rPr>
        <w:t>(2)</w:t>
      </w:r>
      <w:r>
        <w:tab/>
      </w:r>
      <w:r w:rsidR="007A5975">
        <w:t>To se nanaša na naslednje spojine:</w:t>
      </w:r>
    </w:p>
    <w:p w:rsidR="007A5975" w:rsidRDefault="007A5975" w:rsidP="007A5975">
      <w:pPr>
        <w:ind w:left="1416"/>
      </w:pPr>
      <w:r>
        <w:t xml:space="preserve">7 polikloriranih </w:t>
      </w:r>
      <w:proofErr w:type="spellStart"/>
      <w:r>
        <w:t>dibenzo</w:t>
      </w:r>
      <w:proofErr w:type="spellEnd"/>
      <w:r>
        <w:t>-p-dioksinov (PCDD): 2,3,7,8-T4CDD (CAS 1746-01-6), 1,2,3,7,8-P5CDD (CAS 40321-76-4), 1,2,3,4,7,8-H6CDD (CAS 39227-28-6), 1,2,3,6,7,8-H6CDD (CAS 57653-85-7), 1,2,3,7,8,9-H6CDD (CAS 19408-74-3), 1,2,3,4,6,7,8-H7CDD (CAS 35822-46-9), 1,2,3,4,6,7,8,9-O8CDD (CAS 3268-87-9)</w:t>
      </w:r>
    </w:p>
    <w:p w:rsidR="007A5975" w:rsidRDefault="007A5975" w:rsidP="007A5975">
      <w:pPr>
        <w:ind w:left="1416"/>
      </w:pPr>
      <w:r>
        <w:t xml:space="preserve">10 polikloriranih </w:t>
      </w:r>
      <w:proofErr w:type="spellStart"/>
      <w:r>
        <w:t>dibenzofuranov</w:t>
      </w:r>
      <w:proofErr w:type="spellEnd"/>
      <w:r>
        <w:t xml:space="preserve"> (PCDF): 2,3,7,8-T4CDF (CAS 51207-31-9), 1,2,3,7,8-P5CDF (CAS 57117-41-6), 2,3,4,7,8-P5CDF (CAS 57117-31-4), 1,2,3,4,7,8-H6CDF (CAS 70648-26-9), 1,2,3,6,7,8-H6CDF (CAS 57117-44-9), 1,2,3,7,8,9-H6CDF (CAS 72918-21-9), 2,3,4,6,7,8-H6CDF (CAS 60851-34-5), 1,2,3,4,6,7,8-H7CDF (CAS 67562-39-4), 1,2,3,4,7,8,9-H7CDF (CAS 55673-89-7), 1,2,3,4,6,7,8,9-O8CDF (CAS 39001-02-0) </w:t>
      </w:r>
    </w:p>
    <w:p w:rsidR="007A5975" w:rsidRDefault="007A5975" w:rsidP="007A5975">
      <w:pPr>
        <w:ind w:left="1416"/>
      </w:pPr>
      <w:r>
        <w:t>12 dioksinom podobnih polikloriranih bifenilov (PCB-DL): 3,3’,4,4’-T4CB (PCB 77, CAS 32598-13-3), 3,3’,4’,5-T4CB (PCB 81, CAS 70362-50-4), 2,3,3’,4,4’-P5CB (PCB 105, CAS 32598-14-4), 2,3,4,4’,5-P5CB (PCB 114, CAS 74472-37-0), 2,3’,4,4’,5-P5CB (PCB 118, CAS 31508-00-6), 2,3’,4,4’,5’-P5CB (PCB 123, CAS 65510-44-3), 3,3’,4,4’,5-P5CB (PCB 126, CAS 57465-28-8), 2,3,3’,4,4’,5-H6CB (PCB 156, CAS 38380-08-4), 2,3,3’,4,4’,5’-H6CB (PCB 157, CAS 69782-90-7), 2,3’,4,4’,5,5’-H6CB (PCB 167, CAS 52663-72-6), 3,3’,4,4’,5,5’-H6CB (PCB 169, CAS 32774-16-6), 2,3,3’,4,4’,5,5’-H7CB (PCB 189, CAS 39635-31-9).</w:t>
      </w:r>
    </w:p>
    <w:p w:rsidR="00F31B66" w:rsidRPr="00A83654" w:rsidRDefault="00F31B66" w:rsidP="007A5975">
      <w:pPr>
        <w:ind w:left="1418" w:hanging="710"/>
      </w:pPr>
      <w:r>
        <w:rPr>
          <w:vertAlign w:val="superscript"/>
        </w:rPr>
        <w:t>(3)</w:t>
      </w:r>
      <w:r>
        <w:tab/>
      </w:r>
      <w:r w:rsidR="007A5975" w:rsidRPr="007A5975">
        <w:t>To se nanaša na 1,3,5,7,9,11-</w:t>
      </w:r>
      <w:proofErr w:type="spellStart"/>
      <w:r w:rsidR="007A5975" w:rsidRPr="007A5975">
        <w:t>heksabromociklododekan</w:t>
      </w:r>
      <w:proofErr w:type="spellEnd"/>
      <w:r w:rsidR="007A5975" w:rsidRPr="007A5975">
        <w:t xml:space="preserve"> (CAS 25637-99-4), 1,2,5,6,9,10- </w:t>
      </w:r>
      <w:proofErr w:type="spellStart"/>
      <w:r w:rsidR="007A5975" w:rsidRPr="007A5975">
        <w:t>heksabromociklododekan</w:t>
      </w:r>
      <w:proofErr w:type="spellEnd"/>
      <w:r w:rsidR="007A5975" w:rsidRPr="007A5975">
        <w:t xml:space="preserve"> (CAS 3194-55-6), α-</w:t>
      </w:r>
      <w:proofErr w:type="spellStart"/>
      <w:r w:rsidR="007A5975" w:rsidRPr="007A5975">
        <w:t>heksabromociklododekan</w:t>
      </w:r>
      <w:proofErr w:type="spellEnd"/>
      <w:r w:rsidR="007A5975" w:rsidRPr="007A5975">
        <w:t xml:space="preserve"> (CAS 134237-50-6), β-</w:t>
      </w:r>
      <w:proofErr w:type="spellStart"/>
      <w:r w:rsidR="007A5975" w:rsidRPr="007A5975">
        <w:t>heksabromociklododekan</w:t>
      </w:r>
      <w:proofErr w:type="spellEnd"/>
      <w:r w:rsidR="007A5975" w:rsidRPr="007A5975">
        <w:t xml:space="preserve"> (CAS 134237-51-7) in γ-</w:t>
      </w:r>
      <w:proofErr w:type="spellStart"/>
      <w:r w:rsidR="007A5975" w:rsidRPr="007A5975">
        <w:t>heksabromoc</w:t>
      </w:r>
      <w:r w:rsidR="007A5975">
        <w:t>iklododekan</w:t>
      </w:r>
      <w:proofErr w:type="spellEnd"/>
      <w:r w:rsidR="007A5975">
        <w:t xml:space="preserve"> (CAS 134237-52-8).</w:t>
      </w:r>
    </w:p>
    <w:p w:rsidR="007E7DBD" w:rsidRDefault="007E7DBD" w:rsidP="00B328D8"/>
    <w:p w:rsidR="005A7114" w:rsidRDefault="005A7114" w:rsidP="00156C50">
      <w:pPr>
        <w:jc w:val="both"/>
      </w:pPr>
      <w:r>
        <w:t xml:space="preserve">Preglednica 2: </w:t>
      </w:r>
      <w:r w:rsidR="00B06918">
        <w:t>S</w:t>
      </w:r>
      <w:r w:rsidR="00FF31D4" w:rsidRPr="005A7114">
        <w:t>novi</w:t>
      </w:r>
      <w:r w:rsidR="00B06918">
        <w:t>, ki so uvrščene v seznam kemijskih parametrov z Uredbo o spremembah in dopolnitvah Uredbe o stanju površinskih voda (Uradni list RS, št.</w:t>
      </w:r>
      <w:r w:rsidR="00A83654" w:rsidRPr="00A83654">
        <w:t xml:space="preserve"> 24/16 z dne 1. 4. 2016</w:t>
      </w:r>
      <w:r w:rsidR="00A83654">
        <w:t>)</w:t>
      </w:r>
    </w:p>
    <w:p w:rsidR="00B06918" w:rsidRPr="00662508" w:rsidRDefault="00B06918" w:rsidP="005A7114"/>
    <w:tbl>
      <w:tblPr>
        <w:tblStyle w:val="Tabelamrea"/>
        <w:tblW w:w="0" w:type="auto"/>
        <w:jc w:val="center"/>
        <w:tblLook w:val="04A0" w:firstRow="1" w:lastRow="0" w:firstColumn="1" w:lastColumn="0" w:noHBand="0" w:noVBand="1"/>
      </w:tblPr>
      <w:tblGrid>
        <w:gridCol w:w="1836"/>
        <w:gridCol w:w="5245"/>
      </w:tblGrid>
      <w:tr w:rsidR="00FF31D4" w:rsidRPr="00FF31D4" w:rsidTr="007A5975">
        <w:trPr>
          <w:trHeight w:val="340"/>
          <w:jc w:val="center"/>
        </w:trPr>
        <w:tc>
          <w:tcPr>
            <w:tcW w:w="1836" w:type="dxa"/>
            <w:vAlign w:val="center"/>
          </w:tcPr>
          <w:p w:rsidR="00FF31D4" w:rsidRPr="00FF31D4" w:rsidRDefault="00FF31D4" w:rsidP="00CD5B41">
            <w:pPr>
              <w:rPr>
                <w:b/>
              </w:rPr>
            </w:pPr>
            <w:r w:rsidRPr="0016409B">
              <w:rPr>
                <w:b/>
              </w:rPr>
              <w:lastRenderedPageBreak/>
              <w:t>Številka CAS</w:t>
            </w:r>
            <w:hyperlink r:id="rId8" w:anchor="ntr1-L_2013226SL.01001402-E0001" w:history="1">
              <w:r w:rsidR="00A83654" w:rsidRPr="00A83654">
                <w:rPr>
                  <w:b/>
                  <w:vertAlign w:val="superscript"/>
                </w:rPr>
                <w:t>(1)</w:t>
              </w:r>
            </w:hyperlink>
          </w:p>
        </w:tc>
        <w:tc>
          <w:tcPr>
            <w:tcW w:w="5245" w:type="dxa"/>
            <w:vAlign w:val="center"/>
          </w:tcPr>
          <w:p w:rsidR="00FF31D4" w:rsidRPr="00FF31D4" w:rsidRDefault="00FF31D4" w:rsidP="00CD5B41">
            <w:pPr>
              <w:rPr>
                <w:b/>
              </w:rPr>
            </w:pPr>
            <w:r w:rsidRPr="0016409B">
              <w:rPr>
                <w:b/>
              </w:rPr>
              <w:t xml:space="preserve">Ime </w:t>
            </w:r>
            <w:r w:rsidR="007E7DBD">
              <w:rPr>
                <w:b/>
              </w:rPr>
              <w:t xml:space="preserve">prednostne </w:t>
            </w:r>
            <w:r w:rsidRPr="0016409B">
              <w:rPr>
                <w:b/>
              </w:rPr>
              <w:t>snovi</w:t>
            </w:r>
          </w:p>
        </w:tc>
      </w:tr>
      <w:tr w:rsidR="00FF31D4" w:rsidTr="007A5975">
        <w:trPr>
          <w:trHeight w:val="340"/>
          <w:jc w:val="center"/>
        </w:trPr>
        <w:tc>
          <w:tcPr>
            <w:tcW w:w="1836" w:type="dxa"/>
            <w:vAlign w:val="center"/>
          </w:tcPr>
          <w:p w:rsidR="0016409B" w:rsidRPr="0016409B" w:rsidRDefault="00FF31D4" w:rsidP="007A5975">
            <w:pPr>
              <w:spacing w:before="60" w:after="60" w:line="240" w:lineRule="auto"/>
              <w:jc w:val="center"/>
            </w:pPr>
            <w:r w:rsidRPr="0016409B">
              <w:t>115-32-2</w:t>
            </w:r>
          </w:p>
        </w:tc>
        <w:tc>
          <w:tcPr>
            <w:tcW w:w="5245" w:type="dxa"/>
            <w:vAlign w:val="center"/>
          </w:tcPr>
          <w:p w:rsidR="0016409B" w:rsidRPr="0016409B" w:rsidRDefault="00FF31D4" w:rsidP="00CD5B41">
            <w:pPr>
              <w:spacing w:before="60" w:after="60" w:line="240" w:lineRule="auto"/>
            </w:pPr>
            <w:proofErr w:type="spellStart"/>
            <w:r w:rsidRPr="0016409B">
              <w:t>dikofol</w:t>
            </w:r>
            <w:proofErr w:type="spellEnd"/>
          </w:p>
        </w:tc>
      </w:tr>
      <w:tr w:rsidR="00FF31D4" w:rsidTr="007A5975">
        <w:trPr>
          <w:trHeight w:val="340"/>
          <w:jc w:val="center"/>
        </w:trPr>
        <w:tc>
          <w:tcPr>
            <w:tcW w:w="1836" w:type="dxa"/>
            <w:vAlign w:val="center"/>
          </w:tcPr>
          <w:p w:rsidR="0016409B" w:rsidRPr="0016409B" w:rsidRDefault="00FF31D4" w:rsidP="007A5975">
            <w:pPr>
              <w:spacing w:before="60" w:after="60" w:line="240" w:lineRule="auto"/>
              <w:jc w:val="center"/>
            </w:pPr>
            <w:r w:rsidRPr="0016409B">
              <w:t>1763-23-1</w:t>
            </w:r>
          </w:p>
        </w:tc>
        <w:tc>
          <w:tcPr>
            <w:tcW w:w="5245" w:type="dxa"/>
            <w:vAlign w:val="center"/>
          </w:tcPr>
          <w:p w:rsidR="0016409B" w:rsidRPr="0016409B" w:rsidRDefault="00FF31D4" w:rsidP="00CD5B41">
            <w:pPr>
              <w:spacing w:before="60" w:after="60" w:line="240" w:lineRule="auto"/>
            </w:pPr>
            <w:proofErr w:type="spellStart"/>
            <w:r w:rsidRPr="0016409B">
              <w:t>perfluorooktan</w:t>
            </w:r>
            <w:proofErr w:type="spellEnd"/>
            <w:r w:rsidRPr="0016409B">
              <w:t xml:space="preserve"> sulfonska kislina in njeni derivati (PFOS)</w:t>
            </w:r>
          </w:p>
        </w:tc>
      </w:tr>
      <w:tr w:rsidR="00FF31D4" w:rsidTr="007A5975">
        <w:trPr>
          <w:trHeight w:val="340"/>
          <w:jc w:val="center"/>
        </w:trPr>
        <w:tc>
          <w:tcPr>
            <w:tcW w:w="1836" w:type="dxa"/>
            <w:vAlign w:val="center"/>
          </w:tcPr>
          <w:p w:rsidR="0016409B" w:rsidRPr="0016409B" w:rsidRDefault="00FF31D4" w:rsidP="007A5975">
            <w:pPr>
              <w:spacing w:before="60" w:after="60" w:line="240" w:lineRule="auto"/>
              <w:jc w:val="center"/>
            </w:pPr>
            <w:r w:rsidRPr="0016409B">
              <w:t>124495-18-7</w:t>
            </w:r>
          </w:p>
        </w:tc>
        <w:tc>
          <w:tcPr>
            <w:tcW w:w="5245" w:type="dxa"/>
            <w:vAlign w:val="center"/>
          </w:tcPr>
          <w:p w:rsidR="0016409B" w:rsidRPr="0016409B" w:rsidRDefault="00FF31D4" w:rsidP="00CD5B41">
            <w:pPr>
              <w:spacing w:before="60" w:after="60" w:line="240" w:lineRule="auto"/>
            </w:pPr>
            <w:proofErr w:type="spellStart"/>
            <w:r w:rsidRPr="0016409B">
              <w:t>kvinoksifen</w:t>
            </w:r>
            <w:proofErr w:type="spellEnd"/>
          </w:p>
        </w:tc>
      </w:tr>
      <w:tr w:rsidR="00FF31D4" w:rsidTr="007A5975">
        <w:trPr>
          <w:trHeight w:val="340"/>
          <w:jc w:val="center"/>
        </w:trPr>
        <w:tc>
          <w:tcPr>
            <w:tcW w:w="1836" w:type="dxa"/>
            <w:vAlign w:val="center"/>
          </w:tcPr>
          <w:p w:rsidR="0016409B" w:rsidRPr="0016409B" w:rsidRDefault="007A5975" w:rsidP="007A5975">
            <w:pPr>
              <w:spacing w:before="60" w:after="60" w:line="240" w:lineRule="auto"/>
              <w:jc w:val="center"/>
              <w:rPr>
                <w:highlight w:val="yellow"/>
              </w:rPr>
            </w:pPr>
            <w:r>
              <w:rPr>
                <w:vertAlign w:val="superscript"/>
              </w:rPr>
              <w:t>(2)</w:t>
            </w:r>
          </w:p>
        </w:tc>
        <w:tc>
          <w:tcPr>
            <w:tcW w:w="5245" w:type="dxa"/>
            <w:vAlign w:val="center"/>
          </w:tcPr>
          <w:p w:rsidR="0016409B" w:rsidRPr="0016409B" w:rsidRDefault="00FF31D4" w:rsidP="007A5975">
            <w:pPr>
              <w:spacing w:before="60" w:after="60" w:line="240" w:lineRule="auto"/>
            </w:pPr>
            <w:r w:rsidRPr="0016409B">
              <w:t>dioksini in dioksinom podobne spojine</w:t>
            </w:r>
          </w:p>
        </w:tc>
      </w:tr>
      <w:tr w:rsidR="00FF31D4" w:rsidTr="007A5975">
        <w:trPr>
          <w:trHeight w:val="340"/>
          <w:jc w:val="center"/>
        </w:trPr>
        <w:tc>
          <w:tcPr>
            <w:tcW w:w="1836" w:type="dxa"/>
            <w:vAlign w:val="center"/>
          </w:tcPr>
          <w:p w:rsidR="0016409B" w:rsidRPr="0016409B" w:rsidRDefault="00FF31D4" w:rsidP="007A5975">
            <w:pPr>
              <w:spacing w:before="60" w:after="60" w:line="240" w:lineRule="auto"/>
              <w:jc w:val="center"/>
            </w:pPr>
            <w:r w:rsidRPr="0016409B">
              <w:t>74070-46-5</w:t>
            </w:r>
          </w:p>
        </w:tc>
        <w:tc>
          <w:tcPr>
            <w:tcW w:w="5245" w:type="dxa"/>
            <w:vAlign w:val="center"/>
          </w:tcPr>
          <w:p w:rsidR="0016409B" w:rsidRPr="0016409B" w:rsidRDefault="00FF31D4" w:rsidP="00CD5B41">
            <w:pPr>
              <w:spacing w:before="60" w:after="60" w:line="240" w:lineRule="auto"/>
            </w:pPr>
            <w:proofErr w:type="spellStart"/>
            <w:r w:rsidRPr="0016409B">
              <w:t>aklonifen</w:t>
            </w:r>
            <w:proofErr w:type="spellEnd"/>
          </w:p>
        </w:tc>
      </w:tr>
      <w:tr w:rsidR="00FF31D4" w:rsidTr="007A5975">
        <w:trPr>
          <w:trHeight w:val="340"/>
          <w:jc w:val="center"/>
        </w:trPr>
        <w:tc>
          <w:tcPr>
            <w:tcW w:w="1836" w:type="dxa"/>
            <w:vAlign w:val="center"/>
          </w:tcPr>
          <w:p w:rsidR="0016409B" w:rsidRPr="0016409B" w:rsidRDefault="00FF31D4" w:rsidP="007A5975">
            <w:pPr>
              <w:spacing w:before="60" w:after="60" w:line="240" w:lineRule="auto"/>
              <w:jc w:val="center"/>
            </w:pPr>
            <w:r w:rsidRPr="0016409B">
              <w:t>42576-02-3</w:t>
            </w:r>
          </w:p>
        </w:tc>
        <w:tc>
          <w:tcPr>
            <w:tcW w:w="5245" w:type="dxa"/>
            <w:vAlign w:val="center"/>
          </w:tcPr>
          <w:p w:rsidR="0016409B" w:rsidRPr="0016409B" w:rsidRDefault="00FF31D4" w:rsidP="00CD5B41">
            <w:pPr>
              <w:spacing w:before="60" w:after="60" w:line="240" w:lineRule="auto"/>
            </w:pPr>
            <w:proofErr w:type="spellStart"/>
            <w:r w:rsidRPr="0016409B">
              <w:t>bifenoks</w:t>
            </w:r>
            <w:proofErr w:type="spellEnd"/>
          </w:p>
        </w:tc>
      </w:tr>
      <w:tr w:rsidR="00FF31D4" w:rsidTr="007A5975">
        <w:trPr>
          <w:trHeight w:val="340"/>
          <w:jc w:val="center"/>
        </w:trPr>
        <w:tc>
          <w:tcPr>
            <w:tcW w:w="1836" w:type="dxa"/>
            <w:vAlign w:val="center"/>
          </w:tcPr>
          <w:p w:rsidR="0016409B" w:rsidRPr="0016409B" w:rsidRDefault="00FF31D4" w:rsidP="007A5975">
            <w:pPr>
              <w:spacing w:before="60" w:after="60" w:line="240" w:lineRule="auto"/>
              <w:jc w:val="center"/>
            </w:pPr>
            <w:r w:rsidRPr="0016409B">
              <w:t>28159-98-0</w:t>
            </w:r>
          </w:p>
        </w:tc>
        <w:tc>
          <w:tcPr>
            <w:tcW w:w="5245" w:type="dxa"/>
            <w:vAlign w:val="center"/>
          </w:tcPr>
          <w:p w:rsidR="0016409B" w:rsidRPr="0016409B" w:rsidRDefault="00FF31D4" w:rsidP="00CD5B41">
            <w:pPr>
              <w:spacing w:before="60" w:after="60" w:line="240" w:lineRule="auto"/>
            </w:pPr>
            <w:proofErr w:type="spellStart"/>
            <w:r w:rsidRPr="0016409B">
              <w:t>cibutrin</w:t>
            </w:r>
            <w:proofErr w:type="spellEnd"/>
          </w:p>
        </w:tc>
      </w:tr>
      <w:tr w:rsidR="00FF31D4" w:rsidTr="007A5975">
        <w:trPr>
          <w:trHeight w:val="340"/>
          <w:jc w:val="center"/>
        </w:trPr>
        <w:tc>
          <w:tcPr>
            <w:tcW w:w="1836" w:type="dxa"/>
            <w:vAlign w:val="center"/>
          </w:tcPr>
          <w:p w:rsidR="0016409B" w:rsidRPr="0016409B" w:rsidRDefault="00FF31D4" w:rsidP="007A5975">
            <w:pPr>
              <w:spacing w:before="60" w:after="60" w:line="240" w:lineRule="auto"/>
              <w:jc w:val="center"/>
            </w:pPr>
            <w:r w:rsidRPr="0016409B">
              <w:t>52315-07-8</w:t>
            </w:r>
          </w:p>
        </w:tc>
        <w:tc>
          <w:tcPr>
            <w:tcW w:w="5245" w:type="dxa"/>
            <w:vAlign w:val="center"/>
          </w:tcPr>
          <w:p w:rsidR="0016409B" w:rsidRPr="0016409B" w:rsidRDefault="00FF31D4" w:rsidP="00CD5B41">
            <w:pPr>
              <w:spacing w:before="60" w:after="60" w:line="240" w:lineRule="auto"/>
            </w:pPr>
            <w:proofErr w:type="spellStart"/>
            <w:r w:rsidRPr="0016409B">
              <w:t>cipermetrin</w:t>
            </w:r>
            <w:proofErr w:type="spellEnd"/>
          </w:p>
        </w:tc>
      </w:tr>
      <w:tr w:rsidR="00FF31D4" w:rsidTr="007A5975">
        <w:trPr>
          <w:trHeight w:val="340"/>
          <w:jc w:val="center"/>
        </w:trPr>
        <w:tc>
          <w:tcPr>
            <w:tcW w:w="1836" w:type="dxa"/>
            <w:vAlign w:val="center"/>
          </w:tcPr>
          <w:p w:rsidR="0016409B" w:rsidRPr="0016409B" w:rsidRDefault="00FF31D4" w:rsidP="007A5975">
            <w:pPr>
              <w:spacing w:before="60" w:after="60" w:line="240" w:lineRule="auto"/>
              <w:jc w:val="center"/>
            </w:pPr>
            <w:r w:rsidRPr="0016409B">
              <w:t>62-73-7</w:t>
            </w:r>
          </w:p>
        </w:tc>
        <w:tc>
          <w:tcPr>
            <w:tcW w:w="5245" w:type="dxa"/>
            <w:vAlign w:val="center"/>
          </w:tcPr>
          <w:p w:rsidR="0016409B" w:rsidRPr="0016409B" w:rsidRDefault="00FF31D4" w:rsidP="00CD5B41">
            <w:pPr>
              <w:spacing w:before="60" w:after="60" w:line="240" w:lineRule="auto"/>
            </w:pPr>
            <w:proofErr w:type="spellStart"/>
            <w:r w:rsidRPr="0016409B">
              <w:t>diklorvos</w:t>
            </w:r>
            <w:proofErr w:type="spellEnd"/>
          </w:p>
        </w:tc>
      </w:tr>
      <w:tr w:rsidR="00FF31D4" w:rsidTr="007A5975">
        <w:trPr>
          <w:trHeight w:val="340"/>
          <w:jc w:val="center"/>
        </w:trPr>
        <w:tc>
          <w:tcPr>
            <w:tcW w:w="1836" w:type="dxa"/>
            <w:vAlign w:val="center"/>
          </w:tcPr>
          <w:p w:rsidR="0016409B" w:rsidRPr="0016409B" w:rsidRDefault="007A5975" w:rsidP="007A5975">
            <w:pPr>
              <w:spacing w:before="60" w:after="60" w:line="240" w:lineRule="auto"/>
              <w:jc w:val="center"/>
              <w:rPr>
                <w:highlight w:val="yellow"/>
              </w:rPr>
            </w:pPr>
            <w:r>
              <w:rPr>
                <w:vertAlign w:val="superscript"/>
              </w:rPr>
              <w:t>(3)</w:t>
            </w:r>
          </w:p>
        </w:tc>
        <w:tc>
          <w:tcPr>
            <w:tcW w:w="5245" w:type="dxa"/>
            <w:vAlign w:val="center"/>
          </w:tcPr>
          <w:p w:rsidR="0016409B" w:rsidRPr="0016409B" w:rsidRDefault="00FF31D4" w:rsidP="007A5975">
            <w:pPr>
              <w:spacing w:before="60" w:after="60" w:line="240" w:lineRule="auto"/>
            </w:pPr>
            <w:proofErr w:type="spellStart"/>
            <w:r w:rsidRPr="0016409B">
              <w:t>heksabromociklododekan</w:t>
            </w:r>
            <w:proofErr w:type="spellEnd"/>
            <w:r w:rsidRPr="0016409B">
              <w:t xml:space="preserve"> (HBCDD)</w:t>
            </w:r>
          </w:p>
        </w:tc>
      </w:tr>
      <w:tr w:rsidR="00FF31D4" w:rsidTr="007A5975">
        <w:trPr>
          <w:trHeight w:val="340"/>
          <w:jc w:val="center"/>
        </w:trPr>
        <w:tc>
          <w:tcPr>
            <w:tcW w:w="1836" w:type="dxa"/>
            <w:vAlign w:val="center"/>
          </w:tcPr>
          <w:p w:rsidR="0016409B" w:rsidRPr="0016409B" w:rsidRDefault="00FF31D4" w:rsidP="007A5975">
            <w:pPr>
              <w:spacing w:before="60" w:after="60" w:line="240" w:lineRule="auto"/>
              <w:jc w:val="center"/>
            </w:pPr>
            <w:r w:rsidRPr="0016409B">
              <w:t>76-44-8</w:t>
            </w:r>
            <w:r w:rsidR="00B65277">
              <w:t xml:space="preserve"> </w:t>
            </w:r>
            <w:r w:rsidRPr="0016409B">
              <w:t>/</w:t>
            </w:r>
            <w:r w:rsidR="00B65277">
              <w:t xml:space="preserve"> </w:t>
            </w:r>
            <w:r w:rsidRPr="0016409B">
              <w:t>1024-57-3</w:t>
            </w:r>
          </w:p>
        </w:tc>
        <w:tc>
          <w:tcPr>
            <w:tcW w:w="5245" w:type="dxa"/>
            <w:vAlign w:val="center"/>
          </w:tcPr>
          <w:p w:rsidR="0016409B" w:rsidRPr="0016409B" w:rsidRDefault="00FF31D4" w:rsidP="00CD5B41">
            <w:pPr>
              <w:spacing w:before="60" w:after="60" w:line="240" w:lineRule="auto"/>
            </w:pPr>
            <w:proofErr w:type="spellStart"/>
            <w:r w:rsidRPr="0016409B">
              <w:t>heptaklor</w:t>
            </w:r>
            <w:proofErr w:type="spellEnd"/>
            <w:r w:rsidRPr="0016409B">
              <w:t xml:space="preserve"> in </w:t>
            </w:r>
            <w:proofErr w:type="spellStart"/>
            <w:r w:rsidRPr="0016409B">
              <w:t>heptaklor</w:t>
            </w:r>
            <w:proofErr w:type="spellEnd"/>
            <w:r w:rsidRPr="0016409B">
              <w:t xml:space="preserve"> epoksid</w:t>
            </w:r>
          </w:p>
        </w:tc>
      </w:tr>
      <w:tr w:rsidR="00FF31D4" w:rsidTr="007A5975">
        <w:trPr>
          <w:trHeight w:val="340"/>
          <w:jc w:val="center"/>
        </w:trPr>
        <w:tc>
          <w:tcPr>
            <w:tcW w:w="1836" w:type="dxa"/>
            <w:vAlign w:val="center"/>
          </w:tcPr>
          <w:p w:rsidR="0016409B" w:rsidRPr="0016409B" w:rsidRDefault="00FF31D4" w:rsidP="007A5975">
            <w:pPr>
              <w:spacing w:before="60" w:after="60" w:line="240" w:lineRule="auto"/>
              <w:jc w:val="center"/>
            </w:pPr>
            <w:r w:rsidRPr="0016409B">
              <w:t>886-50-0</w:t>
            </w:r>
          </w:p>
        </w:tc>
        <w:tc>
          <w:tcPr>
            <w:tcW w:w="5245" w:type="dxa"/>
            <w:vAlign w:val="center"/>
          </w:tcPr>
          <w:p w:rsidR="0016409B" w:rsidRPr="0016409B" w:rsidRDefault="00FF31D4" w:rsidP="00CD5B41">
            <w:pPr>
              <w:spacing w:before="60" w:after="60" w:line="240" w:lineRule="auto"/>
            </w:pPr>
            <w:proofErr w:type="spellStart"/>
            <w:r w:rsidRPr="0016409B">
              <w:t>terbutrin</w:t>
            </w:r>
            <w:proofErr w:type="spellEnd"/>
          </w:p>
        </w:tc>
      </w:tr>
    </w:tbl>
    <w:p w:rsidR="007E7DBD" w:rsidRPr="00A83654" w:rsidRDefault="007E7DBD" w:rsidP="007E7DBD">
      <w:pPr>
        <w:ind w:left="708"/>
      </w:pPr>
      <w:r w:rsidRPr="007E7DBD">
        <w:rPr>
          <w:vertAlign w:val="superscript"/>
        </w:rPr>
        <w:t>(1)</w:t>
      </w:r>
      <w:r>
        <w:tab/>
      </w:r>
      <w:r w:rsidRPr="00A83654">
        <w:t xml:space="preserve">CAS: </w:t>
      </w:r>
      <w:r>
        <w:t>Služba za izmenjavo kemičnih izvlečkov</w:t>
      </w:r>
      <w:r w:rsidR="007A5975">
        <w:t>.</w:t>
      </w:r>
    </w:p>
    <w:p w:rsidR="007A5975" w:rsidRDefault="007A5975" w:rsidP="007A5975">
      <w:pPr>
        <w:ind w:left="708"/>
      </w:pPr>
      <w:r>
        <w:rPr>
          <w:vertAlign w:val="superscript"/>
        </w:rPr>
        <w:t>(2)</w:t>
      </w:r>
      <w:r>
        <w:tab/>
        <w:t>To se nanaša na naslednje spojine:</w:t>
      </w:r>
    </w:p>
    <w:p w:rsidR="007A5975" w:rsidRDefault="007A5975" w:rsidP="007A5975">
      <w:pPr>
        <w:ind w:left="1416"/>
      </w:pPr>
      <w:r>
        <w:t xml:space="preserve">7 polikloriranih </w:t>
      </w:r>
      <w:proofErr w:type="spellStart"/>
      <w:r>
        <w:t>dibenzo</w:t>
      </w:r>
      <w:proofErr w:type="spellEnd"/>
      <w:r>
        <w:t>-p-dioksinov (PCDD): 2,3,7,8-T4CDD (CAS 1746-01-6), 1,2,3,7,8-P5CDD (CAS 40321-76-4), 1,2,3,4,7,8-H6CDD (CAS 39227-28-6), 1,2,3,6,7,8-H6CDD (CAS 57653-85-7), 1,2,3,7,8,9-H6CDD (CAS 19408-74-3), 1,2,3,4,6,7,8-H7CDD (CAS 35822-46-9), 1,2,3,4,6,7,8,9-O8CDD (CAS 3268-87-9)</w:t>
      </w:r>
    </w:p>
    <w:p w:rsidR="007A5975" w:rsidRDefault="007A5975" w:rsidP="007A5975">
      <w:pPr>
        <w:ind w:left="1416"/>
      </w:pPr>
      <w:r>
        <w:t xml:space="preserve">10 polikloriranih </w:t>
      </w:r>
      <w:proofErr w:type="spellStart"/>
      <w:r>
        <w:t>dibenzofuranov</w:t>
      </w:r>
      <w:proofErr w:type="spellEnd"/>
      <w:r>
        <w:t xml:space="preserve"> (PCDF): 2,3,7,8-T4CDF (CAS 51207-31-9), 1,2,3,7,8-P5CDF (CAS 57117-41-6), 2,3,4,7,8-P5CDF (CAS 57117-31-4), 1,2,3,4,7,8-H6CDF (CAS 70648-26-9), 1,2,3,6,7,8-H6CDF (CAS 57117-44-9), 1,2,3,7,8,9-H6CDF (CAS 72918-21-9), 2,3,4,6,7,8-H6CDF (CAS 60851-34-5), 1,2,3,4,6,7,8-H7CDF (CAS 67562-39-4), 1,2,3,4,7,8,9-H7CDF (CAS 55673-89-7), 1,2,3,4,6,7,8,9-O8CDF (CAS 39001-02-0) </w:t>
      </w:r>
    </w:p>
    <w:p w:rsidR="007A5975" w:rsidRDefault="007A5975" w:rsidP="007A5975">
      <w:pPr>
        <w:ind w:left="1416"/>
      </w:pPr>
      <w:r>
        <w:t>12 dioksinom podobnih polikloriranih bifenilov (PCB-DL): 3,3’,4,4’-T4CB (PCB 77, CAS 32598-13-3), 3,3’,4’,5-T4CB (PCB 81, CAS 70362-50-4), 2,3,3’,4,4’-P5CB (PCB 105, CAS 32598-14-4), 2,3,4,4’,5-P5CB (PCB 114, CAS 74472-37-0), 2,3’,4,4’,5-P5CB (PCB 118, CAS 31508-00-6), 2,3’,4,4’,5’-P5CB (PCB 123, CAS 65510-44-3), 3,3’,4,4’,5-P5CB (PCB 126, CAS 57465-28-8), 2,3,3’,4,4’,5-H6CB (PCB 156, CAS 38380-08-4), 2,3,3’,4,4’,5’-H6CB (PCB 157, CAS 69782-90-7), 2,3’,4,4’,5,5’-H6CB (PCB 167, CAS 52663-72-6), 3,3’,4,4’,5,5’-H6CB (PCB 169, CAS 32774-16-6), 2,3,3’,4,4’,5,5’-H7CB (PCB 189, CAS 39635-31-9).</w:t>
      </w:r>
    </w:p>
    <w:p w:rsidR="007A5975" w:rsidRPr="00A83654" w:rsidRDefault="007A5975" w:rsidP="007A5975">
      <w:pPr>
        <w:ind w:left="1418" w:hanging="710"/>
      </w:pPr>
      <w:r>
        <w:rPr>
          <w:vertAlign w:val="superscript"/>
        </w:rPr>
        <w:t>(3)</w:t>
      </w:r>
      <w:r>
        <w:tab/>
      </w:r>
      <w:r w:rsidRPr="007A5975">
        <w:t>To se nanaša na 1,3,5,7,9,11-</w:t>
      </w:r>
      <w:proofErr w:type="spellStart"/>
      <w:r w:rsidRPr="007A5975">
        <w:t>heksabromociklododekan</w:t>
      </w:r>
      <w:proofErr w:type="spellEnd"/>
      <w:r w:rsidRPr="007A5975">
        <w:t xml:space="preserve"> (CAS 25637-99-4), 1,2,5,6,9,10- </w:t>
      </w:r>
      <w:proofErr w:type="spellStart"/>
      <w:r w:rsidRPr="007A5975">
        <w:t>heksabromociklododekan</w:t>
      </w:r>
      <w:proofErr w:type="spellEnd"/>
      <w:r w:rsidRPr="007A5975">
        <w:t xml:space="preserve"> (CAS 3194-55-6), α-</w:t>
      </w:r>
      <w:proofErr w:type="spellStart"/>
      <w:r w:rsidRPr="007A5975">
        <w:t>heksabromociklododekan</w:t>
      </w:r>
      <w:proofErr w:type="spellEnd"/>
      <w:r w:rsidRPr="007A5975">
        <w:t xml:space="preserve"> (CAS 134237-50-6), β-</w:t>
      </w:r>
      <w:proofErr w:type="spellStart"/>
      <w:r w:rsidRPr="007A5975">
        <w:t>heksabromociklododekan</w:t>
      </w:r>
      <w:proofErr w:type="spellEnd"/>
      <w:r w:rsidRPr="007A5975">
        <w:t xml:space="preserve"> (CAS 134237-51-7) in γ-</w:t>
      </w:r>
      <w:proofErr w:type="spellStart"/>
      <w:r w:rsidRPr="007A5975">
        <w:t>heksabromoc</w:t>
      </w:r>
      <w:r>
        <w:t>iklododekan</w:t>
      </w:r>
      <w:proofErr w:type="spellEnd"/>
      <w:r>
        <w:t xml:space="preserve"> (CAS 134237-52-8).</w:t>
      </w:r>
    </w:p>
    <w:p w:rsidR="005A7114" w:rsidRDefault="005A7114" w:rsidP="005A7114">
      <w:pPr>
        <w:spacing w:line="240" w:lineRule="auto"/>
        <w:rPr>
          <w:rFonts w:ascii="Times New Roman" w:hAnsi="Times New Roman"/>
          <w:color w:val="000000"/>
          <w:sz w:val="24"/>
          <w:lang w:eastAsia="sl-SI"/>
        </w:rPr>
      </w:pPr>
    </w:p>
    <w:p w:rsidR="005A7114" w:rsidRDefault="00FF31D4" w:rsidP="00156C50">
      <w:pPr>
        <w:jc w:val="both"/>
      </w:pPr>
      <w:r>
        <w:t xml:space="preserve">Preglednica 3: </w:t>
      </w:r>
      <w:r w:rsidR="00B06918">
        <w:t>S</w:t>
      </w:r>
      <w:r w:rsidR="00B06918" w:rsidRPr="005A7114">
        <w:t>novi</w:t>
      </w:r>
      <w:r w:rsidR="00B06918">
        <w:t xml:space="preserve">, za katere so z Uredbo o spremembah in dopolnitvah Uredbe o stanju površinskih voda (Uradni list RS, št. </w:t>
      </w:r>
      <w:r w:rsidR="00A83654" w:rsidRPr="00A83654">
        <w:t>24/16 z dne 1. 4. 2016</w:t>
      </w:r>
      <w:r w:rsidR="00A83654">
        <w:t xml:space="preserve">) </w:t>
      </w:r>
      <w:r w:rsidRPr="005A7114">
        <w:t xml:space="preserve">določeni </w:t>
      </w:r>
      <w:r w:rsidR="00B06918">
        <w:t xml:space="preserve">spremenjeni </w:t>
      </w:r>
      <w:r w:rsidR="00B808D1">
        <w:t>OSK</w:t>
      </w:r>
    </w:p>
    <w:p w:rsidR="00662508" w:rsidRPr="00662508" w:rsidRDefault="00662508" w:rsidP="00B328D8"/>
    <w:tbl>
      <w:tblPr>
        <w:tblStyle w:val="Tabelamrea"/>
        <w:tblW w:w="0" w:type="auto"/>
        <w:jc w:val="center"/>
        <w:tblLook w:val="04A0" w:firstRow="1" w:lastRow="0" w:firstColumn="1" w:lastColumn="0" w:noHBand="0" w:noVBand="1"/>
      </w:tblPr>
      <w:tblGrid>
        <w:gridCol w:w="2376"/>
        <w:gridCol w:w="5245"/>
      </w:tblGrid>
      <w:tr w:rsidR="00FF31D4" w:rsidRPr="00FF31D4" w:rsidTr="005C68E4">
        <w:trPr>
          <w:cantSplit/>
          <w:trHeight w:val="340"/>
          <w:tblHeader/>
          <w:jc w:val="center"/>
        </w:trPr>
        <w:tc>
          <w:tcPr>
            <w:tcW w:w="2376" w:type="dxa"/>
            <w:vAlign w:val="center"/>
          </w:tcPr>
          <w:p w:rsidR="00FF31D4" w:rsidRPr="00FF31D4" w:rsidRDefault="00FF31D4" w:rsidP="00CD5B41">
            <w:pPr>
              <w:rPr>
                <w:b/>
              </w:rPr>
            </w:pPr>
            <w:r w:rsidRPr="0016409B">
              <w:rPr>
                <w:b/>
              </w:rPr>
              <w:t>Številka CAS</w:t>
            </w:r>
            <w:hyperlink r:id="rId9" w:anchor="ntr1-L_2013226SL.01001402-E0001" w:history="1">
              <w:r w:rsidR="00A83654" w:rsidRPr="00A83654">
                <w:rPr>
                  <w:b/>
                  <w:vertAlign w:val="superscript"/>
                </w:rPr>
                <w:t>(1)</w:t>
              </w:r>
            </w:hyperlink>
          </w:p>
        </w:tc>
        <w:tc>
          <w:tcPr>
            <w:tcW w:w="5245" w:type="dxa"/>
            <w:vAlign w:val="center"/>
          </w:tcPr>
          <w:p w:rsidR="00FF31D4" w:rsidRPr="00FF31D4" w:rsidRDefault="00FF31D4" w:rsidP="00CD5B41">
            <w:pPr>
              <w:rPr>
                <w:b/>
              </w:rPr>
            </w:pPr>
            <w:r w:rsidRPr="0016409B">
              <w:rPr>
                <w:b/>
              </w:rPr>
              <w:t>Ime</w:t>
            </w:r>
            <w:r w:rsidR="007E7DBD">
              <w:rPr>
                <w:b/>
              </w:rPr>
              <w:t xml:space="preserve"> prednostne</w:t>
            </w:r>
            <w:r w:rsidRPr="0016409B">
              <w:rPr>
                <w:b/>
              </w:rPr>
              <w:t xml:space="preserve"> snovi</w:t>
            </w:r>
          </w:p>
        </w:tc>
      </w:tr>
      <w:tr w:rsidR="00FF31D4" w:rsidTr="00CD5B41">
        <w:trPr>
          <w:trHeight w:val="340"/>
          <w:jc w:val="center"/>
        </w:trPr>
        <w:tc>
          <w:tcPr>
            <w:tcW w:w="2376" w:type="dxa"/>
            <w:vAlign w:val="center"/>
          </w:tcPr>
          <w:p w:rsidR="0016409B" w:rsidRPr="0016409B" w:rsidRDefault="00FF31D4" w:rsidP="00CD5B41">
            <w:pPr>
              <w:spacing w:before="60" w:after="60" w:line="240" w:lineRule="auto"/>
            </w:pPr>
            <w:r w:rsidRPr="0016409B">
              <w:t>120-12-7</w:t>
            </w:r>
          </w:p>
        </w:tc>
        <w:tc>
          <w:tcPr>
            <w:tcW w:w="5245" w:type="dxa"/>
            <w:vAlign w:val="center"/>
          </w:tcPr>
          <w:p w:rsidR="0016409B" w:rsidRPr="0016409B" w:rsidRDefault="00FF31D4" w:rsidP="00CD5B41">
            <w:pPr>
              <w:spacing w:before="60" w:after="60" w:line="240" w:lineRule="auto"/>
            </w:pPr>
            <w:r w:rsidRPr="0016409B">
              <w:t>antracen</w:t>
            </w:r>
          </w:p>
        </w:tc>
      </w:tr>
      <w:tr w:rsidR="00FF31D4" w:rsidTr="00CD5B41">
        <w:trPr>
          <w:trHeight w:val="340"/>
          <w:jc w:val="center"/>
        </w:trPr>
        <w:tc>
          <w:tcPr>
            <w:tcW w:w="2376" w:type="dxa"/>
            <w:vAlign w:val="center"/>
          </w:tcPr>
          <w:p w:rsidR="0016409B" w:rsidRPr="0016409B" w:rsidRDefault="00FF31D4" w:rsidP="00CD5B41">
            <w:pPr>
              <w:spacing w:before="60" w:after="60" w:line="240" w:lineRule="auto"/>
            </w:pPr>
            <w:r w:rsidRPr="0016409B">
              <w:t>32534-81-9</w:t>
            </w:r>
          </w:p>
        </w:tc>
        <w:tc>
          <w:tcPr>
            <w:tcW w:w="5245" w:type="dxa"/>
            <w:vAlign w:val="center"/>
          </w:tcPr>
          <w:p w:rsidR="0016409B" w:rsidRPr="0016409B" w:rsidRDefault="00FF31D4" w:rsidP="00CD5B41">
            <w:pPr>
              <w:spacing w:before="60" w:after="60" w:line="240" w:lineRule="auto"/>
            </w:pPr>
            <w:r w:rsidRPr="0016409B">
              <w:t xml:space="preserve">bromirani </w:t>
            </w:r>
            <w:proofErr w:type="spellStart"/>
            <w:r w:rsidRPr="0016409B">
              <w:t>difeniletri</w:t>
            </w:r>
            <w:proofErr w:type="spellEnd"/>
          </w:p>
        </w:tc>
      </w:tr>
      <w:tr w:rsidR="00FF31D4" w:rsidTr="00CD5B41">
        <w:trPr>
          <w:trHeight w:val="340"/>
          <w:jc w:val="center"/>
        </w:trPr>
        <w:tc>
          <w:tcPr>
            <w:tcW w:w="2376" w:type="dxa"/>
            <w:vAlign w:val="center"/>
          </w:tcPr>
          <w:p w:rsidR="0016409B" w:rsidRPr="0016409B" w:rsidRDefault="00FF31D4" w:rsidP="00CD5B41">
            <w:pPr>
              <w:spacing w:before="60" w:after="60" w:line="240" w:lineRule="auto"/>
            </w:pPr>
            <w:r w:rsidRPr="0016409B">
              <w:t>206-44-0</w:t>
            </w:r>
          </w:p>
        </w:tc>
        <w:tc>
          <w:tcPr>
            <w:tcW w:w="5245" w:type="dxa"/>
            <w:vAlign w:val="center"/>
          </w:tcPr>
          <w:p w:rsidR="0016409B" w:rsidRPr="0016409B" w:rsidRDefault="00FF31D4" w:rsidP="00CD5B41">
            <w:pPr>
              <w:spacing w:before="60" w:after="60" w:line="240" w:lineRule="auto"/>
            </w:pPr>
            <w:proofErr w:type="spellStart"/>
            <w:r w:rsidRPr="0016409B">
              <w:t>fluoranten</w:t>
            </w:r>
            <w:proofErr w:type="spellEnd"/>
          </w:p>
        </w:tc>
      </w:tr>
      <w:tr w:rsidR="00FF31D4" w:rsidTr="00CD5B41">
        <w:trPr>
          <w:trHeight w:val="340"/>
          <w:jc w:val="center"/>
        </w:trPr>
        <w:tc>
          <w:tcPr>
            <w:tcW w:w="2376" w:type="dxa"/>
            <w:vAlign w:val="center"/>
          </w:tcPr>
          <w:p w:rsidR="0016409B" w:rsidRPr="0016409B" w:rsidRDefault="00FF31D4" w:rsidP="00CD5B41">
            <w:pPr>
              <w:spacing w:before="60" w:after="60" w:line="240" w:lineRule="auto"/>
            </w:pPr>
            <w:r w:rsidRPr="0016409B">
              <w:t>7439-92-1</w:t>
            </w:r>
          </w:p>
        </w:tc>
        <w:tc>
          <w:tcPr>
            <w:tcW w:w="5245" w:type="dxa"/>
            <w:vAlign w:val="center"/>
          </w:tcPr>
          <w:p w:rsidR="0016409B" w:rsidRPr="0016409B" w:rsidRDefault="00FF31D4" w:rsidP="00CD5B41">
            <w:pPr>
              <w:spacing w:before="60" w:after="60" w:line="240" w:lineRule="auto"/>
            </w:pPr>
            <w:r w:rsidRPr="0016409B">
              <w:t>svinec in njegove spojine</w:t>
            </w:r>
          </w:p>
        </w:tc>
      </w:tr>
      <w:tr w:rsidR="00FF31D4" w:rsidTr="00CD5B41">
        <w:trPr>
          <w:trHeight w:val="340"/>
          <w:jc w:val="center"/>
        </w:trPr>
        <w:tc>
          <w:tcPr>
            <w:tcW w:w="2376" w:type="dxa"/>
            <w:vAlign w:val="center"/>
          </w:tcPr>
          <w:p w:rsidR="0016409B" w:rsidRPr="0016409B" w:rsidRDefault="00FF31D4" w:rsidP="00CD5B41">
            <w:pPr>
              <w:spacing w:before="60" w:after="60" w:line="240" w:lineRule="auto"/>
            </w:pPr>
            <w:r w:rsidRPr="0016409B">
              <w:lastRenderedPageBreak/>
              <w:t>91-20-3</w:t>
            </w:r>
          </w:p>
        </w:tc>
        <w:tc>
          <w:tcPr>
            <w:tcW w:w="5245" w:type="dxa"/>
            <w:vAlign w:val="center"/>
          </w:tcPr>
          <w:p w:rsidR="0016409B" w:rsidRPr="0016409B" w:rsidRDefault="00FF31D4" w:rsidP="00CD5B41">
            <w:pPr>
              <w:spacing w:before="60" w:after="60" w:line="240" w:lineRule="auto"/>
            </w:pPr>
            <w:proofErr w:type="spellStart"/>
            <w:r w:rsidRPr="0016409B">
              <w:t>naftalen</w:t>
            </w:r>
            <w:proofErr w:type="spellEnd"/>
          </w:p>
        </w:tc>
      </w:tr>
      <w:tr w:rsidR="00FF31D4" w:rsidTr="00CD5B41">
        <w:trPr>
          <w:trHeight w:val="340"/>
          <w:jc w:val="center"/>
        </w:trPr>
        <w:tc>
          <w:tcPr>
            <w:tcW w:w="2376" w:type="dxa"/>
            <w:vAlign w:val="center"/>
          </w:tcPr>
          <w:p w:rsidR="0016409B" w:rsidRPr="0016409B" w:rsidRDefault="00FF31D4" w:rsidP="00CD5B41">
            <w:pPr>
              <w:spacing w:before="60" w:after="60" w:line="240" w:lineRule="auto"/>
            </w:pPr>
            <w:r w:rsidRPr="0016409B">
              <w:t>7440-02-0</w:t>
            </w:r>
          </w:p>
        </w:tc>
        <w:tc>
          <w:tcPr>
            <w:tcW w:w="5245" w:type="dxa"/>
            <w:vAlign w:val="center"/>
          </w:tcPr>
          <w:p w:rsidR="0016409B" w:rsidRPr="0016409B" w:rsidRDefault="00FF31D4" w:rsidP="00CD5B41">
            <w:pPr>
              <w:spacing w:before="60" w:after="60" w:line="240" w:lineRule="auto"/>
            </w:pPr>
            <w:r w:rsidRPr="0016409B">
              <w:t>nikelj in njegove spojine</w:t>
            </w:r>
          </w:p>
        </w:tc>
      </w:tr>
      <w:tr w:rsidR="00FF31D4" w:rsidTr="00CD5B41">
        <w:trPr>
          <w:trHeight w:val="340"/>
          <w:jc w:val="center"/>
        </w:trPr>
        <w:tc>
          <w:tcPr>
            <w:tcW w:w="2376" w:type="dxa"/>
            <w:vAlign w:val="center"/>
          </w:tcPr>
          <w:p w:rsidR="0016409B" w:rsidRPr="0016409B" w:rsidRDefault="00FF31D4" w:rsidP="00CD5B41">
            <w:pPr>
              <w:spacing w:before="60" w:after="60" w:line="240" w:lineRule="auto"/>
            </w:pPr>
            <w:r w:rsidRPr="0016409B">
              <w:t>ni relevantno</w:t>
            </w:r>
          </w:p>
        </w:tc>
        <w:tc>
          <w:tcPr>
            <w:tcW w:w="5245" w:type="dxa"/>
            <w:vAlign w:val="center"/>
          </w:tcPr>
          <w:p w:rsidR="0016409B" w:rsidRPr="0016409B" w:rsidRDefault="00FF31D4" w:rsidP="00CD5B41">
            <w:pPr>
              <w:spacing w:before="60" w:after="60" w:line="240" w:lineRule="auto"/>
            </w:pPr>
            <w:proofErr w:type="spellStart"/>
            <w:r w:rsidRPr="0016409B">
              <w:t>poliaromatski</w:t>
            </w:r>
            <w:proofErr w:type="spellEnd"/>
            <w:r w:rsidRPr="0016409B">
              <w:t xml:space="preserve"> ogljikovodiki (PAH)</w:t>
            </w:r>
            <w:r w:rsidR="00B65277" w:rsidRPr="0016409B">
              <w:t xml:space="preserve"> </w:t>
            </w:r>
          </w:p>
        </w:tc>
      </w:tr>
      <w:tr w:rsidR="00FF31D4" w:rsidTr="00CD5B41">
        <w:trPr>
          <w:trHeight w:val="340"/>
          <w:jc w:val="center"/>
        </w:trPr>
        <w:tc>
          <w:tcPr>
            <w:tcW w:w="2376" w:type="dxa"/>
            <w:vAlign w:val="center"/>
          </w:tcPr>
          <w:p w:rsidR="0016409B" w:rsidRPr="0016409B" w:rsidRDefault="00FF31D4" w:rsidP="00CD5B41">
            <w:pPr>
              <w:spacing w:before="60" w:after="60" w:line="240" w:lineRule="auto"/>
              <w:ind w:left="301"/>
            </w:pPr>
            <w:r w:rsidRPr="0016409B">
              <w:t>50-32-8</w:t>
            </w:r>
          </w:p>
        </w:tc>
        <w:tc>
          <w:tcPr>
            <w:tcW w:w="5245" w:type="dxa"/>
            <w:vAlign w:val="center"/>
          </w:tcPr>
          <w:p w:rsidR="0016409B" w:rsidRPr="0016409B" w:rsidRDefault="00FF31D4" w:rsidP="00CD5B41">
            <w:pPr>
              <w:spacing w:before="60" w:after="60" w:line="240" w:lineRule="auto"/>
              <w:ind w:left="301"/>
            </w:pPr>
            <w:proofErr w:type="spellStart"/>
            <w:r w:rsidRPr="0016409B">
              <w:t>benzo</w:t>
            </w:r>
            <w:proofErr w:type="spellEnd"/>
            <w:r w:rsidRPr="0016409B">
              <w:t>(a)</w:t>
            </w:r>
            <w:proofErr w:type="spellStart"/>
            <w:r w:rsidRPr="0016409B">
              <w:t>piren</w:t>
            </w:r>
            <w:proofErr w:type="spellEnd"/>
          </w:p>
        </w:tc>
      </w:tr>
      <w:tr w:rsidR="00FF31D4" w:rsidTr="00CD5B41">
        <w:trPr>
          <w:trHeight w:val="340"/>
          <w:jc w:val="center"/>
        </w:trPr>
        <w:tc>
          <w:tcPr>
            <w:tcW w:w="2376" w:type="dxa"/>
            <w:vAlign w:val="center"/>
          </w:tcPr>
          <w:p w:rsidR="0016409B" w:rsidRPr="0016409B" w:rsidRDefault="00FF31D4" w:rsidP="00CD5B41">
            <w:pPr>
              <w:spacing w:before="60" w:after="60" w:line="240" w:lineRule="auto"/>
              <w:ind w:left="301"/>
            </w:pPr>
            <w:r w:rsidRPr="0016409B">
              <w:t>205-99-2</w:t>
            </w:r>
          </w:p>
        </w:tc>
        <w:tc>
          <w:tcPr>
            <w:tcW w:w="5245" w:type="dxa"/>
            <w:vAlign w:val="center"/>
          </w:tcPr>
          <w:p w:rsidR="0016409B" w:rsidRPr="0016409B" w:rsidRDefault="00FF31D4" w:rsidP="00CD5B41">
            <w:pPr>
              <w:spacing w:before="60" w:after="60" w:line="240" w:lineRule="auto"/>
              <w:ind w:left="301"/>
            </w:pPr>
            <w:proofErr w:type="spellStart"/>
            <w:r w:rsidRPr="0016409B">
              <w:t>benzo</w:t>
            </w:r>
            <w:proofErr w:type="spellEnd"/>
            <w:r w:rsidRPr="0016409B">
              <w:t>(b)</w:t>
            </w:r>
            <w:proofErr w:type="spellStart"/>
            <w:r w:rsidRPr="0016409B">
              <w:t>fluoranten</w:t>
            </w:r>
            <w:proofErr w:type="spellEnd"/>
          </w:p>
        </w:tc>
      </w:tr>
      <w:tr w:rsidR="00FF31D4" w:rsidTr="00CD5B41">
        <w:trPr>
          <w:trHeight w:val="340"/>
          <w:jc w:val="center"/>
        </w:trPr>
        <w:tc>
          <w:tcPr>
            <w:tcW w:w="2376" w:type="dxa"/>
            <w:vAlign w:val="center"/>
          </w:tcPr>
          <w:p w:rsidR="0016409B" w:rsidRPr="0016409B" w:rsidRDefault="00FF31D4" w:rsidP="00CD5B41">
            <w:pPr>
              <w:spacing w:before="60" w:after="60" w:line="240" w:lineRule="auto"/>
              <w:ind w:left="301"/>
            </w:pPr>
            <w:r w:rsidRPr="0016409B">
              <w:t>207-08-9</w:t>
            </w:r>
          </w:p>
        </w:tc>
        <w:tc>
          <w:tcPr>
            <w:tcW w:w="5245" w:type="dxa"/>
            <w:vAlign w:val="center"/>
          </w:tcPr>
          <w:p w:rsidR="0016409B" w:rsidRPr="0016409B" w:rsidRDefault="00FF31D4" w:rsidP="00CD5B41">
            <w:pPr>
              <w:spacing w:before="60" w:after="60" w:line="240" w:lineRule="auto"/>
              <w:ind w:left="301"/>
            </w:pPr>
            <w:proofErr w:type="spellStart"/>
            <w:r w:rsidRPr="0016409B">
              <w:t>benzo</w:t>
            </w:r>
            <w:proofErr w:type="spellEnd"/>
            <w:r w:rsidRPr="0016409B">
              <w:t>(k)</w:t>
            </w:r>
            <w:proofErr w:type="spellStart"/>
            <w:r w:rsidRPr="0016409B">
              <w:t>fluoranten</w:t>
            </w:r>
            <w:proofErr w:type="spellEnd"/>
          </w:p>
        </w:tc>
      </w:tr>
      <w:tr w:rsidR="00FF31D4" w:rsidTr="00CD5B41">
        <w:trPr>
          <w:trHeight w:val="340"/>
          <w:jc w:val="center"/>
        </w:trPr>
        <w:tc>
          <w:tcPr>
            <w:tcW w:w="2376" w:type="dxa"/>
            <w:vAlign w:val="center"/>
          </w:tcPr>
          <w:p w:rsidR="0016409B" w:rsidRPr="0016409B" w:rsidRDefault="00FF31D4" w:rsidP="00CD5B41">
            <w:pPr>
              <w:spacing w:before="60" w:after="60" w:line="240" w:lineRule="auto"/>
              <w:ind w:left="301"/>
            </w:pPr>
            <w:r w:rsidRPr="0016409B">
              <w:t>191-24-2</w:t>
            </w:r>
          </w:p>
        </w:tc>
        <w:tc>
          <w:tcPr>
            <w:tcW w:w="5245" w:type="dxa"/>
            <w:vAlign w:val="center"/>
          </w:tcPr>
          <w:p w:rsidR="0016409B" w:rsidRPr="0016409B" w:rsidRDefault="00FF31D4" w:rsidP="00CD5B41">
            <w:pPr>
              <w:spacing w:before="60" w:after="60" w:line="240" w:lineRule="auto"/>
              <w:ind w:left="301"/>
            </w:pPr>
            <w:proofErr w:type="spellStart"/>
            <w:r w:rsidRPr="0016409B">
              <w:t>benzo</w:t>
            </w:r>
            <w:proofErr w:type="spellEnd"/>
            <w:r w:rsidRPr="0016409B">
              <w:t>(g,h,i)perilen</w:t>
            </w:r>
          </w:p>
        </w:tc>
      </w:tr>
      <w:tr w:rsidR="00FF31D4" w:rsidTr="00CD5B41">
        <w:trPr>
          <w:trHeight w:val="340"/>
          <w:jc w:val="center"/>
        </w:trPr>
        <w:tc>
          <w:tcPr>
            <w:tcW w:w="2376" w:type="dxa"/>
            <w:vAlign w:val="center"/>
          </w:tcPr>
          <w:p w:rsidR="0016409B" w:rsidRPr="0016409B" w:rsidRDefault="00FF31D4" w:rsidP="00CD5B41">
            <w:pPr>
              <w:spacing w:before="60" w:after="60" w:line="240" w:lineRule="auto"/>
              <w:ind w:left="301"/>
            </w:pPr>
            <w:r w:rsidRPr="0016409B">
              <w:t>193-39-5</w:t>
            </w:r>
          </w:p>
        </w:tc>
        <w:tc>
          <w:tcPr>
            <w:tcW w:w="5245" w:type="dxa"/>
            <w:vAlign w:val="center"/>
          </w:tcPr>
          <w:p w:rsidR="0016409B" w:rsidRPr="0016409B" w:rsidRDefault="00FF31D4" w:rsidP="00CD5B41">
            <w:pPr>
              <w:spacing w:before="60" w:after="60" w:line="240" w:lineRule="auto"/>
              <w:ind w:left="301"/>
            </w:pPr>
            <w:proofErr w:type="spellStart"/>
            <w:r w:rsidRPr="0016409B">
              <w:t>indeno</w:t>
            </w:r>
            <w:proofErr w:type="spellEnd"/>
            <w:r w:rsidRPr="0016409B">
              <w:t>(1,2,3-</w:t>
            </w:r>
            <w:proofErr w:type="spellStart"/>
            <w:r w:rsidRPr="0016409B">
              <w:t>cd</w:t>
            </w:r>
            <w:proofErr w:type="spellEnd"/>
            <w:r w:rsidRPr="0016409B">
              <w:t>)</w:t>
            </w:r>
            <w:proofErr w:type="spellStart"/>
            <w:r w:rsidRPr="0016409B">
              <w:t>piren</w:t>
            </w:r>
            <w:proofErr w:type="spellEnd"/>
          </w:p>
        </w:tc>
      </w:tr>
    </w:tbl>
    <w:p w:rsidR="007E7DBD" w:rsidRPr="00A83654" w:rsidRDefault="007E7DBD" w:rsidP="007E7DBD">
      <w:pPr>
        <w:ind w:left="708"/>
      </w:pPr>
      <w:r w:rsidRPr="007E7DBD">
        <w:rPr>
          <w:vertAlign w:val="superscript"/>
        </w:rPr>
        <w:t>(1)</w:t>
      </w:r>
      <w:r>
        <w:tab/>
      </w:r>
      <w:r w:rsidRPr="00A83654">
        <w:t xml:space="preserve">CAS: </w:t>
      </w:r>
      <w:r>
        <w:t>Služba za izmenjavo kemičnih izvlečkov</w:t>
      </w:r>
      <w:r w:rsidR="007A5975">
        <w:t>.</w:t>
      </w:r>
      <w:r w:rsidR="00CD5B41">
        <w:t>«.</w:t>
      </w:r>
    </w:p>
    <w:p w:rsidR="004E0EF2" w:rsidRDefault="007E7DBD" w:rsidP="00FF31D4">
      <w:r>
        <w:tab/>
      </w:r>
    </w:p>
    <w:p w:rsidR="004E0EF2" w:rsidRDefault="004E0EF2">
      <w:pPr>
        <w:spacing w:after="200" w:line="276" w:lineRule="auto"/>
      </w:pPr>
    </w:p>
    <w:sectPr w:rsidR="004E0EF2" w:rsidSect="005C68E4">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F226F"/>
    <w:multiLevelType w:val="hybridMultilevel"/>
    <w:tmpl w:val="BC4E9B66"/>
    <w:lvl w:ilvl="0" w:tplc="49E063D0">
      <w:start w:val="1"/>
      <w:numFmt w:val="decimal"/>
      <w:lvlText w:val="%1."/>
      <w:lvlJc w:val="left"/>
      <w:pPr>
        <w:ind w:left="420" w:hanging="360"/>
      </w:pPr>
    </w:lvl>
    <w:lvl w:ilvl="1" w:tplc="04240019">
      <w:start w:val="1"/>
      <w:numFmt w:val="lowerLetter"/>
      <w:lvlText w:val="%2."/>
      <w:lvlJc w:val="left"/>
      <w:pPr>
        <w:ind w:left="1140" w:hanging="360"/>
      </w:pPr>
    </w:lvl>
    <w:lvl w:ilvl="2" w:tplc="0424001B">
      <w:start w:val="1"/>
      <w:numFmt w:val="lowerRoman"/>
      <w:lvlText w:val="%3."/>
      <w:lvlJc w:val="right"/>
      <w:pPr>
        <w:ind w:left="1860" w:hanging="180"/>
      </w:pPr>
    </w:lvl>
    <w:lvl w:ilvl="3" w:tplc="0424000F">
      <w:start w:val="1"/>
      <w:numFmt w:val="decimal"/>
      <w:lvlText w:val="%4."/>
      <w:lvlJc w:val="left"/>
      <w:pPr>
        <w:ind w:left="2580" w:hanging="360"/>
      </w:pPr>
    </w:lvl>
    <w:lvl w:ilvl="4" w:tplc="04240019">
      <w:start w:val="1"/>
      <w:numFmt w:val="lowerLetter"/>
      <w:lvlText w:val="%5."/>
      <w:lvlJc w:val="left"/>
      <w:pPr>
        <w:ind w:left="3300" w:hanging="360"/>
      </w:pPr>
    </w:lvl>
    <w:lvl w:ilvl="5" w:tplc="0424001B">
      <w:start w:val="1"/>
      <w:numFmt w:val="lowerRoman"/>
      <w:lvlText w:val="%6."/>
      <w:lvlJc w:val="right"/>
      <w:pPr>
        <w:ind w:left="4020" w:hanging="180"/>
      </w:pPr>
    </w:lvl>
    <w:lvl w:ilvl="6" w:tplc="0424000F">
      <w:start w:val="1"/>
      <w:numFmt w:val="decimal"/>
      <w:lvlText w:val="%7."/>
      <w:lvlJc w:val="left"/>
      <w:pPr>
        <w:ind w:left="4740" w:hanging="360"/>
      </w:pPr>
    </w:lvl>
    <w:lvl w:ilvl="7" w:tplc="04240019">
      <w:start w:val="1"/>
      <w:numFmt w:val="lowerLetter"/>
      <w:lvlText w:val="%8."/>
      <w:lvlJc w:val="left"/>
      <w:pPr>
        <w:ind w:left="5460" w:hanging="360"/>
      </w:pPr>
    </w:lvl>
    <w:lvl w:ilvl="8" w:tplc="0424001B">
      <w:start w:val="1"/>
      <w:numFmt w:val="lowerRoman"/>
      <w:lvlText w:val="%9."/>
      <w:lvlJc w:val="right"/>
      <w:pPr>
        <w:ind w:left="6180" w:hanging="180"/>
      </w:pPr>
    </w:lvl>
  </w:abstractNum>
  <w:abstractNum w:abstractNumId="1">
    <w:nsid w:val="38D913C6"/>
    <w:multiLevelType w:val="hybridMultilevel"/>
    <w:tmpl w:val="CC36F03E"/>
    <w:lvl w:ilvl="0" w:tplc="2C8E8708">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nsid w:val="3B8058E3"/>
    <w:multiLevelType w:val="hybridMultilevel"/>
    <w:tmpl w:val="B3ECF0CC"/>
    <w:lvl w:ilvl="0" w:tplc="F2F2D2C6">
      <w:start w:val="1"/>
      <w:numFmt w:val="decimal"/>
      <w:lvlText w:val="(%1)"/>
      <w:lvlJc w:val="left"/>
      <w:pPr>
        <w:ind w:left="1068" w:hanging="360"/>
      </w:pPr>
      <w:rPr>
        <w:rFonts w:hint="default"/>
        <w:color w:val="000000"/>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nsid w:val="6A7C58C7"/>
    <w:multiLevelType w:val="hybridMultilevel"/>
    <w:tmpl w:val="43C652BC"/>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nsid w:val="780353CE"/>
    <w:multiLevelType w:val="hybridMultilevel"/>
    <w:tmpl w:val="60B0D358"/>
    <w:lvl w:ilvl="0" w:tplc="552ABA5E">
      <w:start w:val="1"/>
      <w:numFmt w:val="lowerLetter"/>
      <w:lvlText w:val="%1)"/>
      <w:lvlJc w:val="left"/>
      <w:pPr>
        <w:ind w:left="780" w:hanging="360"/>
      </w:pPr>
    </w:lvl>
    <w:lvl w:ilvl="1" w:tplc="04240019">
      <w:start w:val="1"/>
      <w:numFmt w:val="lowerLetter"/>
      <w:lvlText w:val="%2."/>
      <w:lvlJc w:val="left"/>
      <w:pPr>
        <w:ind w:left="1500" w:hanging="360"/>
      </w:pPr>
    </w:lvl>
    <w:lvl w:ilvl="2" w:tplc="0424001B">
      <w:start w:val="1"/>
      <w:numFmt w:val="lowerRoman"/>
      <w:lvlText w:val="%3."/>
      <w:lvlJc w:val="right"/>
      <w:pPr>
        <w:ind w:left="2220" w:hanging="180"/>
      </w:pPr>
    </w:lvl>
    <w:lvl w:ilvl="3" w:tplc="0424000F">
      <w:start w:val="1"/>
      <w:numFmt w:val="decimal"/>
      <w:lvlText w:val="%4."/>
      <w:lvlJc w:val="left"/>
      <w:pPr>
        <w:ind w:left="2940" w:hanging="360"/>
      </w:pPr>
    </w:lvl>
    <w:lvl w:ilvl="4" w:tplc="04240019">
      <w:start w:val="1"/>
      <w:numFmt w:val="lowerLetter"/>
      <w:lvlText w:val="%5."/>
      <w:lvlJc w:val="left"/>
      <w:pPr>
        <w:ind w:left="3660" w:hanging="360"/>
      </w:pPr>
    </w:lvl>
    <w:lvl w:ilvl="5" w:tplc="0424001B">
      <w:start w:val="1"/>
      <w:numFmt w:val="lowerRoman"/>
      <w:lvlText w:val="%6."/>
      <w:lvlJc w:val="right"/>
      <w:pPr>
        <w:ind w:left="4380" w:hanging="180"/>
      </w:pPr>
    </w:lvl>
    <w:lvl w:ilvl="6" w:tplc="0424000F">
      <w:start w:val="1"/>
      <w:numFmt w:val="decimal"/>
      <w:lvlText w:val="%7."/>
      <w:lvlJc w:val="left"/>
      <w:pPr>
        <w:ind w:left="5100" w:hanging="360"/>
      </w:pPr>
    </w:lvl>
    <w:lvl w:ilvl="7" w:tplc="04240019">
      <w:start w:val="1"/>
      <w:numFmt w:val="lowerLetter"/>
      <w:lvlText w:val="%8."/>
      <w:lvlJc w:val="left"/>
      <w:pPr>
        <w:ind w:left="5820" w:hanging="360"/>
      </w:pPr>
    </w:lvl>
    <w:lvl w:ilvl="8" w:tplc="0424001B">
      <w:start w:val="1"/>
      <w:numFmt w:val="lowerRoman"/>
      <w:lvlText w:val="%9."/>
      <w:lvlJc w:val="right"/>
      <w:pPr>
        <w:ind w:left="6540" w:hanging="180"/>
      </w:pPr>
    </w:lvl>
  </w:abstractNum>
  <w:abstractNum w:abstractNumId="6">
    <w:nsid w:val="7E834D09"/>
    <w:multiLevelType w:val="hybridMultilevel"/>
    <w:tmpl w:val="0CE61EDE"/>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1A8"/>
    <w:rsid w:val="0001342B"/>
    <w:rsid w:val="000326DF"/>
    <w:rsid w:val="000707F4"/>
    <w:rsid w:val="000A4022"/>
    <w:rsid w:val="00156C50"/>
    <w:rsid w:val="001D0A20"/>
    <w:rsid w:val="00232C89"/>
    <w:rsid w:val="00254D84"/>
    <w:rsid w:val="00272871"/>
    <w:rsid w:val="00304A1B"/>
    <w:rsid w:val="00343846"/>
    <w:rsid w:val="003932F5"/>
    <w:rsid w:val="003A3C48"/>
    <w:rsid w:val="003E5C9D"/>
    <w:rsid w:val="004035FF"/>
    <w:rsid w:val="00432697"/>
    <w:rsid w:val="00483964"/>
    <w:rsid w:val="004A28B7"/>
    <w:rsid w:val="004C284A"/>
    <w:rsid w:val="004D14DB"/>
    <w:rsid w:val="004E0EF2"/>
    <w:rsid w:val="0053024C"/>
    <w:rsid w:val="005A7114"/>
    <w:rsid w:val="005C68E4"/>
    <w:rsid w:val="00604137"/>
    <w:rsid w:val="00607ECF"/>
    <w:rsid w:val="006226CA"/>
    <w:rsid w:val="00643A64"/>
    <w:rsid w:val="006511A8"/>
    <w:rsid w:val="00662508"/>
    <w:rsid w:val="00737ABB"/>
    <w:rsid w:val="007470F2"/>
    <w:rsid w:val="00780B2D"/>
    <w:rsid w:val="00790408"/>
    <w:rsid w:val="007A5975"/>
    <w:rsid w:val="007E7DBD"/>
    <w:rsid w:val="007F1BDF"/>
    <w:rsid w:val="007F644A"/>
    <w:rsid w:val="008420C6"/>
    <w:rsid w:val="00873B86"/>
    <w:rsid w:val="008C2CC0"/>
    <w:rsid w:val="008E66D4"/>
    <w:rsid w:val="008F24E0"/>
    <w:rsid w:val="00901709"/>
    <w:rsid w:val="0091692D"/>
    <w:rsid w:val="009770CF"/>
    <w:rsid w:val="00A256BF"/>
    <w:rsid w:val="00A3675E"/>
    <w:rsid w:val="00A77445"/>
    <w:rsid w:val="00A83654"/>
    <w:rsid w:val="00AA4399"/>
    <w:rsid w:val="00AA4A41"/>
    <w:rsid w:val="00AB647C"/>
    <w:rsid w:val="00B06918"/>
    <w:rsid w:val="00B328D8"/>
    <w:rsid w:val="00B61452"/>
    <w:rsid w:val="00B65277"/>
    <w:rsid w:val="00B735E6"/>
    <w:rsid w:val="00B808D1"/>
    <w:rsid w:val="00BB45E8"/>
    <w:rsid w:val="00BF4976"/>
    <w:rsid w:val="00C226CB"/>
    <w:rsid w:val="00CD5B41"/>
    <w:rsid w:val="00D056C1"/>
    <w:rsid w:val="00D75D12"/>
    <w:rsid w:val="00E4776D"/>
    <w:rsid w:val="00ED1EA8"/>
    <w:rsid w:val="00EE3C54"/>
    <w:rsid w:val="00F31B66"/>
    <w:rsid w:val="00F368A7"/>
    <w:rsid w:val="00F8111B"/>
    <w:rsid w:val="00F84BE6"/>
    <w:rsid w:val="00F96246"/>
    <w:rsid w:val="00FA1699"/>
    <w:rsid w:val="00FD5D78"/>
    <w:rsid w:val="00FF0E38"/>
    <w:rsid w:val="00FF31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511A8"/>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Pripombabesedilo">
    <w:name w:val="annotation text"/>
    <w:basedOn w:val="Navaden"/>
    <w:link w:val="PripombabesediloZnak"/>
    <w:semiHidden/>
    <w:unhideWhenUsed/>
    <w:rsid w:val="006511A8"/>
    <w:pPr>
      <w:spacing w:line="240" w:lineRule="auto"/>
    </w:pPr>
    <w:rPr>
      <w:szCs w:val="20"/>
    </w:rPr>
  </w:style>
  <w:style w:type="character" w:customStyle="1" w:styleId="PripombabesediloZnak">
    <w:name w:val="Pripomba – besedilo Znak"/>
    <w:basedOn w:val="Privzetapisavaodstavka"/>
    <w:link w:val="Pripombabesedilo"/>
    <w:semiHidden/>
    <w:rsid w:val="006511A8"/>
    <w:rPr>
      <w:rFonts w:ascii="Arial" w:eastAsia="Times New Roman" w:hAnsi="Arial" w:cs="Times New Roman"/>
      <w:sz w:val="20"/>
      <w:szCs w:val="20"/>
    </w:rPr>
  </w:style>
  <w:style w:type="paragraph" w:styleId="Odstavekseznama">
    <w:name w:val="List Paragraph"/>
    <w:basedOn w:val="Navaden"/>
    <w:uiPriority w:val="34"/>
    <w:qFormat/>
    <w:rsid w:val="006511A8"/>
    <w:pPr>
      <w:spacing w:after="200" w:line="276" w:lineRule="auto"/>
      <w:ind w:left="720"/>
      <w:contextualSpacing/>
    </w:pPr>
    <w:rPr>
      <w:rFonts w:ascii="Calibri" w:eastAsia="Calibri" w:hAnsi="Calibri"/>
      <w:sz w:val="22"/>
      <w:szCs w:val="22"/>
    </w:rPr>
  </w:style>
  <w:style w:type="paragraph" w:customStyle="1" w:styleId="datumtevilka">
    <w:name w:val="datum številka"/>
    <w:basedOn w:val="Navaden"/>
    <w:qFormat/>
    <w:rsid w:val="006511A8"/>
    <w:pPr>
      <w:tabs>
        <w:tab w:val="left" w:pos="1701"/>
      </w:tabs>
    </w:pPr>
    <w:rPr>
      <w:szCs w:val="20"/>
      <w:lang w:eastAsia="sl-SI"/>
    </w:rPr>
  </w:style>
  <w:style w:type="character" w:styleId="Pripombasklic">
    <w:name w:val="annotation reference"/>
    <w:basedOn w:val="Privzetapisavaodstavka"/>
    <w:semiHidden/>
    <w:unhideWhenUsed/>
    <w:rsid w:val="006511A8"/>
    <w:rPr>
      <w:sz w:val="16"/>
      <w:szCs w:val="16"/>
    </w:rPr>
  </w:style>
  <w:style w:type="paragraph" w:styleId="Besedilooblaka">
    <w:name w:val="Balloon Text"/>
    <w:basedOn w:val="Navaden"/>
    <w:link w:val="BesedilooblakaZnak"/>
    <w:uiPriority w:val="99"/>
    <w:semiHidden/>
    <w:unhideWhenUsed/>
    <w:rsid w:val="006511A8"/>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511A8"/>
    <w:rPr>
      <w:rFonts w:ascii="Tahoma" w:eastAsia="Times New Roman" w:hAnsi="Tahoma" w:cs="Tahoma"/>
      <w:sz w:val="16"/>
      <w:szCs w:val="16"/>
    </w:rPr>
  </w:style>
  <w:style w:type="paragraph" w:customStyle="1" w:styleId="odstavek1">
    <w:name w:val="odstavek1"/>
    <w:basedOn w:val="Navaden"/>
    <w:rsid w:val="000707F4"/>
    <w:pPr>
      <w:spacing w:before="240" w:line="240" w:lineRule="auto"/>
      <w:ind w:firstLine="1021"/>
      <w:jc w:val="both"/>
    </w:pPr>
    <w:rPr>
      <w:rFonts w:cs="Arial"/>
      <w:sz w:val="22"/>
      <w:szCs w:val="22"/>
      <w:lang w:eastAsia="sl-SI"/>
    </w:rPr>
  </w:style>
  <w:style w:type="paragraph" w:customStyle="1" w:styleId="tevilnatoka1">
    <w:name w:val="tevilnatoka1"/>
    <w:basedOn w:val="Navaden"/>
    <w:rsid w:val="000707F4"/>
    <w:pPr>
      <w:spacing w:line="240" w:lineRule="auto"/>
      <w:ind w:left="425" w:hanging="425"/>
      <w:jc w:val="both"/>
    </w:pPr>
    <w:rPr>
      <w:rFonts w:cs="Arial"/>
      <w:sz w:val="22"/>
      <w:szCs w:val="22"/>
      <w:lang w:eastAsia="sl-SI"/>
    </w:rPr>
  </w:style>
  <w:style w:type="paragraph" w:customStyle="1" w:styleId="Navaden1">
    <w:name w:val="Navaden1"/>
    <w:basedOn w:val="Navaden"/>
    <w:rsid w:val="005A7114"/>
    <w:pPr>
      <w:spacing w:before="120" w:line="240" w:lineRule="auto"/>
      <w:jc w:val="both"/>
    </w:pPr>
    <w:rPr>
      <w:rFonts w:ascii="Times New Roman" w:hAnsi="Times New Roman"/>
      <w:sz w:val="24"/>
      <w:lang w:eastAsia="sl-SI"/>
    </w:rPr>
  </w:style>
  <w:style w:type="character" w:styleId="Hiperpovezava">
    <w:name w:val="Hyperlink"/>
    <w:basedOn w:val="Privzetapisavaodstavka"/>
    <w:uiPriority w:val="99"/>
    <w:unhideWhenUsed/>
    <w:rsid w:val="005A7114"/>
    <w:rPr>
      <w:color w:val="0000FF" w:themeColor="hyperlink"/>
      <w:u w:val="single"/>
    </w:rPr>
  </w:style>
  <w:style w:type="character" w:customStyle="1" w:styleId="super">
    <w:name w:val="super"/>
    <w:basedOn w:val="Privzetapisavaodstavka"/>
    <w:rsid w:val="00FF31D4"/>
    <w:rPr>
      <w:sz w:val="17"/>
      <w:szCs w:val="17"/>
      <w:vertAlign w:val="superscript"/>
    </w:rPr>
  </w:style>
  <w:style w:type="table" w:styleId="Tabelamrea">
    <w:name w:val="Table Grid"/>
    <w:basedOn w:val="Navadnatabela"/>
    <w:uiPriority w:val="59"/>
    <w:rsid w:val="00FF3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semiHidden/>
    <w:unhideWhenUsed/>
    <w:rsid w:val="00432697"/>
    <w:rPr>
      <w:b/>
      <w:bCs/>
    </w:rPr>
  </w:style>
  <w:style w:type="character" w:customStyle="1" w:styleId="ZadevapripombeZnak">
    <w:name w:val="Zadeva pripombe Znak"/>
    <w:basedOn w:val="PripombabesediloZnak"/>
    <w:link w:val="Zadevapripombe"/>
    <w:uiPriority w:val="99"/>
    <w:semiHidden/>
    <w:rsid w:val="00432697"/>
    <w:rPr>
      <w:rFonts w:ascii="Arial" w:eastAsia="Times New Roman" w:hAnsi="Arial" w:cs="Times New Roman"/>
      <w:b/>
      <w:bCs/>
      <w:sz w:val="20"/>
      <w:szCs w:val="20"/>
    </w:rPr>
  </w:style>
  <w:style w:type="paragraph" w:customStyle="1" w:styleId="tbl-txt">
    <w:name w:val="tbl-txt"/>
    <w:basedOn w:val="Navaden"/>
    <w:rsid w:val="008E66D4"/>
    <w:pPr>
      <w:spacing w:before="60" w:after="60" w:line="240" w:lineRule="auto"/>
    </w:pPr>
    <w:rPr>
      <w:rFonts w:ascii="Times New Roman" w:hAnsi="Times New Roman"/>
      <w:sz w:val="22"/>
      <w:szCs w:val="22"/>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511A8"/>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Pripombabesedilo">
    <w:name w:val="annotation text"/>
    <w:basedOn w:val="Navaden"/>
    <w:link w:val="PripombabesediloZnak"/>
    <w:semiHidden/>
    <w:unhideWhenUsed/>
    <w:rsid w:val="006511A8"/>
    <w:pPr>
      <w:spacing w:line="240" w:lineRule="auto"/>
    </w:pPr>
    <w:rPr>
      <w:szCs w:val="20"/>
    </w:rPr>
  </w:style>
  <w:style w:type="character" w:customStyle="1" w:styleId="PripombabesediloZnak">
    <w:name w:val="Pripomba – besedilo Znak"/>
    <w:basedOn w:val="Privzetapisavaodstavka"/>
    <w:link w:val="Pripombabesedilo"/>
    <w:semiHidden/>
    <w:rsid w:val="006511A8"/>
    <w:rPr>
      <w:rFonts w:ascii="Arial" w:eastAsia="Times New Roman" w:hAnsi="Arial" w:cs="Times New Roman"/>
      <w:sz w:val="20"/>
      <w:szCs w:val="20"/>
    </w:rPr>
  </w:style>
  <w:style w:type="paragraph" w:styleId="Odstavekseznama">
    <w:name w:val="List Paragraph"/>
    <w:basedOn w:val="Navaden"/>
    <w:uiPriority w:val="34"/>
    <w:qFormat/>
    <w:rsid w:val="006511A8"/>
    <w:pPr>
      <w:spacing w:after="200" w:line="276" w:lineRule="auto"/>
      <w:ind w:left="720"/>
      <w:contextualSpacing/>
    </w:pPr>
    <w:rPr>
      <w:rFonts w:ascii="Calibri" w:eastAsia="Calibri" w:hAnsi="Calibri"/>
      <w:sz w:val="22"/>
      <w:szCs w:val="22"/>
    </w:rPr>
  </w:style>
  <w:style w:type="paragraph" w:customStyle="1" w:styleId="datumtevilka">
    <w:name w:val="datum številka"/>
    <w:basedOn w:val="Navaden"/>
    <w:qFormat/>
    <w:rsid w:val="006511A8"/>
    <w:pPr>
      <w:tabs>
        <w:tab w:val="left" w:pos="1701"/>
      </w:tabs>
    </w:pPr>
    <w:rPr>
      <w:szCs w:val="20"/>
      <w:lang w:eastAsia="sl-SI"/>
    </w:rPr>
  </w:style>
  <w:style w:type="character" w:styleId="Pripombasklic">
    <w:name w:val="annotation reference"/>
    <w:basedOn w:val="Privzetapisavaodstavka"/>
    <w:semiHidden/>
    <w:unhideWhenUsed/>
    <w:rsid w:val="006511A8"/>
    <w:rPr>
      <w:sz w:val="16"/>
      <w:szCs w:val="16"/>
    </w:rPr>
  </w:style>
  <w:style w:type="paragraph" w:styleId="Besedilooblaka">
    <w:name w:val="Balloon Text"/>
    <w:basedOn w:val="Navaden"/>
    <w:link w:val="BesedilooblakaZnak"/>
    <w:uiPriority w:val="99"/>
    <w:semiHidden/>
    <w:unhideWhenUsed/>
    <w:rsid w:val="006511A8"/>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511A8"/>
    <w:rPr>
      <w:rFonts w:ascii="Tahoma" w:eastAsia="Times New Roman" w:hAnsi="Tahoma" w:cs="Tahoma"/>
      <w:sz w:val="16"/>
      <w:szCs w:val="16"/>
    </w:rPr>
  </w:style>
  <w:style w:type="paragraph" w:customStyle="1" w:styleId="odstavek1">
    <w:name w:val="odstavek1"/>
    <w:basedOn w:val="Navaden"/>
    <w:rsid w:val="000707F4"/>
    <w:pPr>
      <w:spacing w:before="240" w:line="240" w:lineRule="auto"/>
      <w:ind w:firstLine="1021"/>
      <w:jc w:val="both"/>
    </w:pPr>
    <w:rPr>
      <w:rFonts w:cs="Arial"/>
      <w:sz w:val="22"/>
      <w:szCs w:val="22"/>
      <w:lang w:eastAsia="sl-SI"/>
    </w:rPr>
  </w:style>
  <w:style w:type="paragraph" w:customStyle="1" w:styleId="tevilnatoka1">
    <w:name w:val="tevilnatoka1"/>
    <w:basedOn w:val="Navaden"/>
    <w:rsid w:val="000707F4"/>
    <w:pPr>
      <w:spacing w:line="240" w:lineRule="auto"/>
      <w:ind w:left="425" w:hanging="425"/>
      <w:jc w:val="both"/>
    </w:pPr>
    <w:rPr>
      <w:rFonts w:cs="Arial"/>
      <w:sz w:val="22"/>
      <w:szCs w:val="22"/>
      <w:lang w:eastAsia="sl-SI"/>
    </w:rPr>
  </w:style>
  <w:style w:type="paragraph" w:customStyle="1" w:styleId="Navaden1">
    <w:name w:val="Navaden1"/>
    <w:basedOn w:val="Navaden"/>
    <w:rsid w:val="005A7114"/>
    <w:pPr>
      <w:spacing w:before="120" w:line="240" w:lineRule="auto"/>
      <w:jc w:val="both"/>
    </w:pPr>
    <w:rPr>
      <w:rFonts w:ascii="Times New Roman" w:hAnsi="Times New Roman"/>
      <w:sz w:val="24"/>
      <w:lang w:eastAsia="sl-SI"/>
    </w:rPr>
  </w:style>
  <w:style w:type="character" w:styleId="Hiperpovezava">
    <w:name w:val="Hyperlink"/>
    <w:basedOn w:val="Privzetapisavaodstavka"/>
    <w:uiPriority w:val="99"/>
    <w:unhideWhenUsed/>
    <w:rsid w:val="005A7114"/>
    <w:rPr>
      <w:color w:val="0000FF" w:themeColor="hyperlink"/>
      <w:u w:val="single"/>
    </w:rPr>
  </w:style>
  <w:style w:type="character" w:customStyle="1" w:styleId="super">
    <w:name w:val="super"/>
    <w:basedOn w:val="Privzetapisavaodstavka"/>
    <w:rsid w:val="00FF31D4"/>
    <w:rPr>
      <w:sz w:val="17"/>
      <w:szCs w:val="17"/>
      <w:vertAlign w:val="superscript"/>
    </w:rPr>
  </w:style>
  <w:style w:type="table" w:styleId="Tabelamrea">
    <w:name w:val="Table Grid"/>
    <w:basedOn w:val="Navadnatabela"/>
    <w:uiPriority w:val="59"/>
    <w:rsid w:val="00FF3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semiHidden/>
    <w:unhideWhenUsed/>
    <w:rsid w:val="00432697"/>
    <w:rPr>
      <w:b/>
      <w:bCs/>
    </w:rPr>
  </w:style>
  <w:style w:type="character" w:customStyle="1" w:styleId="ZadevapripombeZnak">
    <w:name w:val="Zadeva pripombe Znak"/>
    <w:basedOn w:val="PripombabesediloZnak"/>
    <w:link w:val="Zadevapripombe"/>
    <w:uiPriority w:val="99"/>
    <w:semiHidden/>
    <w:rsid w:val="00432697"/>
    <w:rPr>
      <w:rFonts w:ascii="Arial" w:eastAsia="Times New Roman" w:hAnsi="Arial" w:cs="Times New Roman"/>
      <w:b/>
      <w:bCs/>
      <w:sz w:val="20"/>
      <w:szCs w:val="20"/>
    </w:rPr>
  </w:style>
  <w:style w:type="paragraph" w:customStyle="1" w:styleId="tbl-txt">
    <w:name w:val="tbl-txt"/>
    <w:basedOn w:val="Navaden"/>
    <w:rsid w:val="008E66D4"/>
    <w:pPr>
      <w:spacing w:before="60" w:after="60" w:line="240" w:lineRule="auto"/>
    </w:pPr>
    <w:rPr>
      <w:rFonts w:ascii="Times New Roman" w:hAnsi="Times New Roman"/>
      <w:sz w:val="22"/>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5252">
      <w:bodyDiv w:val="1"/>
      <w:marLeft w:val="0"/>
      <w:marRight w:val="0"/>
      <w:marTop w:val="0"/>
      <w:marBottom w:val="0"/>
      <w:divBdr>
        <w:top w:val="none" w:sz="0" w:space="0" w:color="auto"/>
        <w:left w:val="none" w:sz="0" w:space="0" w:color="auto"/>
        <w:bottom w:val="none" w:sz="0" w:space="0" w:color="auto"/>
        <w:right w:val="none" w:sz="0" w:space="0" w:color="auto"/>
      </w:divBdr>
    </w:div>
    <w:div w:id="146166997">
      <w:bodyDiv w:val="1"/>
      <w:marLeft w:val="0"/>
      <w:marRight w:val="0"/>
      <w:marTop w:val="0"/>
      <w:marBottom w:val="0"/>
      <w:divBdr>
        <w:top w:val="none" w:sz="0" w:space="0" w:color="auto"/>
        <w:left w:val="none" w:sz="0" w:space="0" w:color="auto"/>
        <w:bottom w:val="none" w:sz="0" w:space="0" w:color="auto"/>
        <w:right w:val="none" w:sz="0" w:space="0" w:color="auto"/>
      </w:divBdr>
    </w:div>
    <w:div w:id="190414058">
      <w:bodyDiv w:val="1"/>
      <w:marLeft w:val="390"/>
      <w:marRight w:val="390"/>
      <w:marTop w:val="0"/>
      <w:marBottom w:val="0"/>
      <w:divBdr>
        <w:top w:val="none" w:sz="0" w:space="0" w:color="auto"/>
        <w:left w:val="none" w:sz="0" w:space="0" w:color="auto"/>
        <w:bottom w:val="none" w:sz="0" w:space="0" w:color="auto"/>
        <w:right w:val="none" w:sz="0" w:space="0" w:color="auto"/>
      </w:divBdr>
      <w:divsChild>
        <w:div w:id="1753509469">
          <w:marLeft w:val="0"/>
          <w:marRight w:val="0"/>
          <w:marTop w:val="0"/>
          <w:marBottom w:val="0"/>
          <w:divBdr>
            <w:top w:val="none" w:sz="0" w:space="0" w:color="auto"/>
            <w:left w:val="none" w:sz="0" w:space="0" w:color="auto"/>
            <w:bottom w:val="none" w:sz="0" w:space="0" w:color="auto"/>
            <w:right w:val="none" w:sz="0" w:space="0" w:color="auto"/>
          </w:divBdr>
          <w:divsChild>
            <w:div w:id="1763642842">
              <w:marLeft w:val="0"/>
              <w:marRight w:val="0"/>
              <w:marTop w:val="0"/>
              <w:marBottom w:val="0"/>
              <w:divBdr>
                <w:top w:val="none" w:sz="0" w:space="0" w:color="auto"/>
                <w:left w:val="none" w:sz="0" w:space="0" w:color="auto"/>
                <w:bottom w:val="none" w:sz="0" w:space="0" w:color="auto"/>
                <w:right w:val="none" w:sz="0" w:space="0" w:color="auto"/>
              </w:divBdr>
              <w:divsChild>
                <w:div w:id="68655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09380">
      <w:bodyDiv w:val="1"/>
      <w:marLeft w:val="0"/>
      <w:marRight w:val="0"/>
      <w:marTop w:val="0"/>
      <w:marBottom w:val="0"/>
      <w:divBdr>
        <w:top w:val="none" w:sz="0" w:space="0" w:color="auto"/>
        <w:left w:val="none" w:sz="0" w:space="0" w:color="auto"/>
        <w:bottom w:val="none" w:sz="0" w:space="0" w:color="auto"/>
        <w:right w:val="none" w:sz="0" w:space="0" w:color="auto"/>
      </w:divBdr>
    </w:div>
    <w:div w:id="259337197">
      <w:bodyDiv w:val="1"/>
      <w:marLeft w:val="0"/>
      <w:marRight w:val="0"/>
      <w:marTop w:val="0"/>
      <w:marBottom w:val="0"/>
      <w:divBdr>
        <w:top w:val="none" w:sz="0" w:space="0" w:color="auto"/>
        <w:left w:val="none" w:sz="0" w:space="0" w:color="auto"/>
        <w:bottom w:val="none" w:sz="0" w:space="0" w:color="auto"/>
        <w:right w:val="none" w:sz="0" w:space="0" w:color="auto"/>
      </w:divBdr>
      <w:divsChild>
        <w:div w:id="2099867696">
          <w:marLeft w:val="0"/>
          <w:marRight w:val="0"/>
          <w:marTop w:val="0"/>
          <w:marBottom w:val="0"/>
          <w:divBdr>
            <w:top w:val="none" w:sz="0" w:space="0" w:color="auto"/>
            <w:left w:val="none" w:sz="0" w:space="0" w:color="auto"/>
            <w:bottom w:val="none" w:sz="0" w:space="0" w:color="auto"/>
            <w:right w:val="none" w:sz="0" w:space="0" w:color="auto"/>
          </w:divBdr>
          <w:divsChild>
            <w:div w:id="632520669">
              <w:marLeft w:val="0"/>
              <w:marRight w:val="0"/>
              <w:marTop w:val="100"/>
              <w:marBottom w:val="100"/>
              <w:divBdr>
                <w:top w:val="none" w:sz="0" w:space="0" w:color="auto"/>
                <w:left w:val="none" w:sz="0" w:space="0" w:color="auto"/>
                <w:bottom w:val="none" w:sz="0" w:space="0" w:color="auto"/>
                <w:right w:val="none" w:sz="0" w:space="0" w:color="auto"/>
              </w:divBdr>
              <w:divsChild>
                <w:div w:id="1261136948">
                  <w:marLeft w:val="0"/>
                  <w:marRight w:val="0"/>
                  <w:marTop w:val="0"/>
                  <w:marBottom w:val="0"/>
                  <w:divBdr>
                    <w:top w:val="none" w:sz="0" w:space="0" w:color="auto"/>
                    <w:left w:val="none" w:sz="0" w:space="0" w:color="auto"/>
                    <w:bottom w:val="none" w:sz="0" w:space="0" w:color="auto"/>
                    <w:right w:val="none" w:sz="0" w:space="0" w:color="auto"/>
                  </w:divBdr>
                  <w:divsChild>
                    <w:div w:id="1767967343">
                      <w:marLeft w:val="0"/>
                      <w:marRight w:val="0"/>
                      <w:marTop w:val="0"/>
                      <w:marBottom w:val="0"/>
                      <w:divBdr>
                        <w:top w:val="none" w:sz="0" w:space="0" w:color="auto"/>
                        <w:left w:val="none" w:sz="0" w:space="0" w:color="auto"/>
                        <w:bottom w:val="none" w:sz="0" w:space="0" w:color="auto"/>
                        <w:right w:val="none" w:sz="0" w:space="0" w:color="auto"/>
                      </w:divBdr>
                      <w:divsChild>
                        <w:div w:id="199123871">
                          <w:marLeft w:val="0"/>
                          <w:marRight w:val="0"/>
                          <w:marTop w:val="0"/>
                          <w:marBottom w:val="0"/>
                          <w:divBdr>
                            <w:top w:val="none" w:sz="0" w:space="0" w:color="auto"/>
                            <w:left w:val="none" w:sz="0" w:space="0" w:color="auto"/>
                            <w:bottom w:val="none" w:sz="0" w:space="0" w:color="auto"/>
                            <w:right w:val="none" w:sz="0" w:space="0" w:color="auto"/>
                          </w:divBdr>
                          <w:divsChild>
                            <w:div w:id="1009406271">
                              <w:marLeft w:val="0"/>
                              <w:marRight w:val="0"/>
                              <w:marTop w:val="0"/>
                              <w:marBottom w:val="0"/>
                              <w:divBdr>
                                <w:top w:val="none" w:sz="0" w:space="0" w:color="auto"/>
                                <w:left w:val="none" w:sz="0" w:space="0" w:color="auto"/>
                                <w:bottom w:val="none" w:sz="0" w:space="0" w:color="auto"/>
                                <w:right w:val="none" w:sz="0" w:space="0" w:color="auto"/>
                              </w:divBdr>
                              <w:divsChild>
                                <w:div w:id="517474967">
                                  <w:marLeft w:val="0"/>
                                  <w:marRight w:val="0"/>
                                  <w:marTop w:val="0"/>
                                  <w:marBottom w:val="0"/>
                                  <w:divBdr>
                                    <w:top w:val="none" w:sz="0" w:space="0" w:color="auto"/>
                                    <w:left w:val="none" w:sz="0" w:space="0" w:color="auto"/>
                                    <w:bottom w:val="none" w:sz="0" w:space="0" w:color="auto"/>
                                    <w:right w:val="none" w:sz="0" w:space="0" w:color="auto"/>
                                  </w:divBdr>
                                  <w:divsChild>
                                    <w:div w:id="964115397">
                                      <w:marLeft w:val="0"/>
                                      <w:marRight w:val="0"/>
                                      <w:marTop w:val="0"/>
                                      <w:marBottom w:val="0"/>
                                      <w:divBdr>
                                        <w:top w:val="none" w:sz="0" w:space="0" w:color="auto"/>
                                        <w:left w:val="none" w:sz="0" w:space="0" w:color="auto"/>
                                        <w:bottom w:val="none" w:sz="0" w:space="0" w:color="auto"/>
                                        <w:right w:val="none" w:sz="0" w:space="0" w:color="auto"/>
                                      </w:divBdr>
                                      <w:divsChild>
                                        <w:div w:id="173057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849103">
      <w:bodyDiv w:val="1"/>
      <w:marLeft w:val="0"/>
      <w:marRight w:val="0"/>
      <w:marTop w:val="0"/>
      <w:marBottom w:val="0"/>
      <w:divBdr>
        <w:top w:val="none" w:sz="0" w:space="0" w:color="auto"/>
        <w:left w:val="none" w:sz="0" w:space="0" w:color="auto"/>
        <w:bottom w:val="none" w:sz="0" w:space="0" w:color="auto"/>
        <w:right w:val="none" w:sz="0" w:space="0" w:color="auto"/>
      </w:divBdr>
    </w:div>
    <w:div w:id="1445225278">
      <w:bodyDiv w:val="1"/>
      <w:marLeft w:val="390"/>
      <w:marRight w:val="390"/>
      <w:marTop w:val="0"/>
      <w:marBottom w:val="0"/>
      <w:divBdr>
        <w:top w:val="none" w:sz="0" w:space="0" w:color="auto"/>
        <w:left w:val="none" w:sz="0" w:space="0" w:color="auto"/>
        <w:bottom w:val="none" w:sz="0" w:space="0" w:color="auto"/>
        <w:right w:val="none" w:sz="0" w:space="0" w:color="auto"/>
      </w:divBdr>
      <w:divsChild>
        <w:div w:id="1002196226">
          <w:marLeft w:val="0"/>
          <w:marRight w:val="0"/>
          <w:marTop w:val="0"/>
          <w:marBottom w:val="0"/>
          <w:divBdr>
            <w:top w:val="none" w:sz="0" w:space="0" w:color="auto"/>
            <w:left w:val="none" w:sz="0" w:space="0" w:color="auto"/>
            <w:bottom w:val="none" w:sz="0" w:space="0" w:color="auto"/>
            <w:right w:val="none" w:sz="0" w:space="0" w:color="auto"/>
          </w:divBdr>
          <w:divsChild>
            <w:div w:id="1867719063">
              <w:marLeft w:val="0"/>
              <w:marRight w:val="0"/>
              <w:marTop w:val="0"/>
              <w:marBottom w:val="0"/>
              <w:divBdr>
                <w:top w:val="none" w:sz="0" w:space="0" w:color="auto"/>
                <w:left w:val="none" w:sz="0" w:space="0" w:color="auto"/>
                <w:bottom w:val="none" w:sz="0" w:space="0" w:color="auto"/>
                <w:right w:val="none" w:sz="0" w:space="0" w:color="auto"/>
              </w:divBdr>
              <w:divsChild>
                <w:div w:id="10630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755679">
      <w:bodyDiv w:val="1"/>
      <w:marLeft w:val="390"/>
      <w:marRight w:val="390"/>
      <w:marTop w:val="0"/>
      <w:marBottom w:val="0"/>
      <w:divBdr>
        <w:top w:val="none" w:sz="0" w:space="0" w:color="auto"/>
        <w:left w:val="none" w:sz="0" w:space="0" w:color="auto"/>
        <w:bottom w:val="none" w:sz="0" w:space="0" w:color="auto"/>
        <w:right w:val="none" w:sz="0" w:space="0" w:color="auto"/>
      </w:divBdr>
      <w:divsChild>
        <w:div w:id="1744378844">
          <w:marLeft w:val="0"/>
          <w:marRight w:val="0"/>
          <w:marTop w:val="0"/>
          <w:marBottom w:val="0"/>
          <w:divBdr>
            <w:top w:val="none" w:sz="0" w:space="0" w:color="auto"/>
            <w:left w:val="none" w:sz="0" w:space="0" w:color="auto"/>
            <w:bottom w:val="none" w:sz="0" w:space="0" w:color="auto"/>
            <w:right w:val="none" w:sz="0" w:space="0" w:color="auto"/>
          </w:divBdr>
          <w:divsChild>
            <w:div w:id="1945263627">
              <w:marLeft w:val="0"/>
              <w:marRight w:val="0"/>
              <w:marTop w:val="0"/>
              <w:marBottom w:val="0"/>
              <w:divBdr>
                <w:top w:val="none" w:sz="0" w:space="0" w:color="auto"/>
                <w:left w:val="none" w:sz="0" w:space="0" w:color="auto"/>
                <w:bottom w:val="none" w:sz="0" w:space="0" w:color="auto"/>
                <w:right w:val="none" w:sz="0" w:space="0" w:color="auto"/>
              </w:divBdr>
              <w:divsChild>
                <w:div w:id="8219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SL/TXT/HTML/?uri=CELEX:32013L0039&amp;qid=1476797334533&amp;from=EN" TargetMode="External"/><Relationship Id="rId3" Type="http://schemas.microsoft.com/office/2007/relationships/stylesWithEffects" Target="stylesWithEffects.xml"/><Relationship Id="rId7" Type="http://schemas.openxmlformats.org/officeDocument/2006/relationships/hyperlink" Target="http://eur-lex.europa.eu/legal-content/SL/TXT/HTML/?uri=CELEX:32013L0039&amp;qid=1476797334533&amp;fro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mop@gov.s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ur-lex.europa.eu/legal-content/SL/TXT/HTML/?uri=CELEX:32013L0039&amp;qid=1476797334533&amp;from=E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2889</Words>
  <Characters>16473</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MOP</Company>
  <LinksUpToDate>false</LinksUpToDate>
  <CharactersWithSpaces>19324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Natasa.Vodopivec</dc:creator>
  <cp:lastModifiedBy>Spela.Sovinc</cp:lastModifiedBy>
  <cp:revision>2</cp:revision>
  <dcterms:created xsi:type="dcterms:W3CDTF">2016-10-25T11:12:00Z</dcterms:created>
  <dcterms:modified xsi:type="dcterms:W3CDTF">2016-10-25T11:12:00Z</dcterms:modified>
</cp:coreProperties>
</file>