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2D" w:rsidRDefault="00122E2D" w:rsidP="00122E2D">
      <w:pPr>
        <w:jc w:val="right"/>
        <w:rPr>
          <w:b/>
        </w:rPr>
      </w:pPr>
      <w:r>
        <w:rPr>
          <w:b/>
        </w:rPr>
        <w:t>EVA: 2017-2330-0060</w:t>
      </w:r>
    </w:p>
    <w:p w:rsidR="00122E2D" w:rsidRDefault="00081469" w:rsidP="00122E2D">
      <w:pPr>
        <w:jc w:val="right"/>
        <w:rPr>
          <w:b/>
        </w:rPr>
      </w:pPr>
      <w:r>
        <w:rPr>
          <w:b/>
        </w:rPr>
        <w:t>OSNUTE</w:t>
      </w:r>
      <w:r w:rsidR="00A54D8F">
        <w:rPr>
          <w:b/>
        </w:rPr>
        <w:t>K</w:t>
      </w:r>
    </w:p>
    <w:p w:rsidR="00122E2D" w:rsidRDefault="00122E2D" w:rsidP="00CA1D56">
      <w:pPr>
        <w:jc w:val="center"/>
        <w:rPr>
          <w:b/>
        </w:rPr>
      </w:pPr>
    </w:p>
    <w:p w:rsidR="00122E2D" w:rsidRDefault="00122E2D" w:rsidP="00CA1D56">
      <w:pPr>
        <w:jc w:val="center"/>
        <w:rPr>
          <w:b/>
        </w:rPr>
      </w:pPr>
      <w:bookmarkStart w:id="0" w:name="_GoBack"/>
      <w:bookmarkEnd w:id="0"/>
    </w:p>
    <w:p w:rsidR="00122E2D" w:rsidRDefault="00122E2D" w:rsidP="00CA1D56">
      <w:pPr>
        <w:jc w:val="center"/>
        <w:rPr>
          <w:b/>
        </w:rPr>
      </w:pPr>
    </w:p>
    <w:p w:rsidR="003C737E" w:rsidRPr="00CA1D56" w:rsidRDefault="00081469" w:rsidP="00CA1D56">
      <w:pPr>
        <w:jc w:val="center"/>
        <w:rPr>
          <w:b/>
        </w:rPr>
      </w:pPr>
      <w:r>
        <w:rPr>
          <w:b/>
        </w:rPr>
        <w:t>ZAKON O SPREMEMBAH IN DOPOLNITVI</w:t>
      </w:r>
      <w:r w:rsidR="003C737E" w:rsidRPr="00CA1D56">
        <w:rPr>
          <w:b/>
        </w:rPr>
        <w:t xml:space="preserve"> ZAKONA O KMETIJSKIH ZEMLJIŠČIH</w:t>
      </w:r>
    </w:p>
    <w:p w:rsidR="003C737E" w:rsidRDefault="003C737E"/>
    <w:tbl>
      <w:tblPr>
        <w:tblpPr w:leftFromText="141" w:rightFromText="141" w:vertAnchor="text" w:horzAnchor="margin" w:tblpY="227"/>
        <w:tblW w:w="8931" w:type="dxa"/>
        <w:tblLayout w:type="fixed"/>
        <w:tblLook w:val="04A0" w:firstRow="1" w:lastRow="0" w:firstColumn="1" w:lastColumn="0" w:noHBand="0" w:noVBand="1"/>
      </w:tblPr>
      <w:tblGrid>
        <w:gridCol w:w="8931"/>
      </w:tblGrid>
      <w:tr w:rsidR="003C737E" w:rsidRPr="00F437E3" w:rsidTr="000C2F34">
        <w:tc>
          <w:tcPr>
            <w:tcW w:w="8931" w:type="dxa"/>
            <w:shd w:val="clear" w:color="auto" w:fill="auto"/>
          </w:tcPr>
          <w:p w:rsidR="003C737E" w:rsidRPr="00F437E3" w:rsidRDefault="00122E2D" w:rsidP="000C2F34">
            <w:pPr>
              <w:suppressAutoHyphens/>
              <w:overflowPunct w:val="0"/>
              <w:autoSpaceDE w:val="0"/>
              <w:autoSpaceDN w:val="0"/>
              <w:adjustRightInd w:val="0"/>
              <w:textAlignment w:val="baseline"/>
              <w:outlineLvl w:val="3"/>
              <w:rPr>
                <w:rFonts w:cs="Arial"/>
                <w:b/>
                <w:szCs w:val="20"/>
                <w:lang w:eastAsia="sl-SI"/>
              </w:rPr>
            </w:pPr>
            <w:r>
              <w:rPr>
                <w:rFonts w:cs="Arial"/>
                <w:b/>
                <w:szCs w:val="20"/>
                <w:lang w:eastAsia="sl-SI"/>
              </w:rPr>
              <w:t>I</w:t>
            </w:r>
            <w:r w:rsidR="003C737E" w:rsidRPr="00F437E3">
              <w:rPr>
                <w:rFonts w:cs="Arial"/>
                <w:b/>
                <w:szCs w:val="20"/>
                <w:lang w:eastAsia="sl-SI"/>
              </w:rPr>
              <w:t>. BESEDILO ČLENOV</w:t>
            </w:r>
          </w:p>
          <w:p w:rsidR="003C737E" w:rsidRPr="00F437E3" w:rsidRDefault="003C737E" w:rsidP="000C2F34">
            <w:pPr>
              <w:suppressAutoHyphens/>
              <w:overflowPunct w:val="0"/>
              <w:autoSpaceDE w:val="0"/>
              <w:autoSpaceDN w:val="0"/>
              <w:adjustRightInd w:val="0"/>
              <w:textAlignment w:val="baseline"/>
              <w:outlineLvl w:val="3"/>
              <w:rPr>
                <w:rFonts w:cs="Arial"/>
                <w:szCs w:val="20"/>
                <w:lang w:eastAsia="sl-SI"/>
              </w:rPr>
            </w:pPr>
          </w:p>
          <w:p w:rsidR="003C737E" w:rsidRPr="00F437E3" w:rsidRDefault="003C737E" w:rsidP="000C2F34">
            <w:pPr>
              <w:suppressAutoHyphens/>
              <w:overflowPunct w:val="0"/>
              <w:autoSpaceDE w:val="0"/>
              <w:autoSpaceDN w:val="0"/>
              <w:adjustRightInd w:val="0"/>
              <w:textAlignment w:val="baseline"/>
              <w:outlineLvl w:val="3"/>
              <w:rPr>
                <w:rFonts w:cs="Arial"/>
                <w:szCs w:val="20"/>
                <w:lang w:eastAsia="sl-SI"/>
              </w:rPr>
            </w:pPr>
          </w:p>
          <w:p w:rsidR="003C737E" w:rsidRPr="00F437E3" w:rsidRDefault="003C737E" w:rsidP="000C2F34">
            <w:pPr>
              <w:suppressAutoHyphens/>
              <w:overflowPunct w:val="0"/>
              <w:autoSpaceDE w:val="0"/>
              <w:autoSpaceDN w:val="0"/>
              <w:adjustRightInd w:val="0"/>
              <w:jc w:val="center"/>
              <w:textAlignment w:val="baseline"/>
              <w:outlineLvl w:val="3"/>
              <w:rPr>
                <w:rFonts w:cs="Arial"/>
                <w:b/>
                <w:szCs w:val="20"/>
                <w:lang w:eastAsia="sl-SI"/>
              </w:rPr>
            </w:pPr>
            <w:r w:rsidRPr="00F437E3">
              <w:rPr>
                <w:rFonts w:cs="Arial"/>
                <w:b/>
                <w:szCs w:val="20"/>
                <w:lang w:eastAsia="sl-SI"/>
              </w:rPr>
              <w:t>1. člen</w:t>
            </w:r>
          </w:p>
          <w:p w:rsidR="003C737E" w:rsidRPr="00F437E3" w:rsidRDefault="003C737E" w:rsidP="000C2F34">
            <w:pPr>
              <w:suppressAutoHyphens/>
              <w:overflowPunct w:val="0"/>
              <w:autoSpaceDE w:val="0"/>
              <w:autoSpaceDN w:val="0"/>
              <w:adjustRightInd w:val="0"/>
              <w:textAlignment w:val="baseline"/>
              <w:outlineLvl w:val="3"/>
              <w:rPr>
                <w:rFonts w:cs="Arial"/>
                <w:szCs w:val="20"/>
                <w:lang w:eastAsia="sl-SI"/>
              </w:rPr>
            </w:pPr>
          </w:p>
          <w:p w:rsidR="003C737E" w:rsidRDefault="003C737E" w:rsidP="000C2F34">
            <w:pPr>
              <w:suppressAutoHyphens/>
              <w:overflowPunct w:val="0"/>
              <w:autoSpaceDE w:val="0"/>
              <w:autoSpaceDN w:val="0"/>
              <w:adjustRightInd w:val="0"/>
              <w:jc w:val="both"/>
              <w:textAlignment w:val="baseline"/>
              <w:outlineLvl w:val="3"/>
              <w:rPr>
                <w:rFonts w:cs="Arial"/>
                <w:szCs w:val="20"/>
                <w:lang w:eastAsia="sl-SI"/>
              </w:rPr>
            </w:pPr>
            <w:r w:rsidRPr="00F437E3">
              <w:rPr>
                <w:rFonts w:cs="Arial"/>
                <w:szCs w:val="20"/>
                <w:lang w:eastAsia="sl-SI"/>
              </w:rPr>
              <w:t>V Zakonu o kmetijskih zemljiščih (Uradni list RS, št. 71/11 – uradno prečiščeno besedilo, 58/12 in 27/16) se</w:t>
            </w:r>
            <w:r>
              <w:rPr>
                <w:rFonts w:cs="Arial"/>
                <w:szCs w:val="20"/>
                <w:lang w:eastAsia="sl-SI"/>
              </w:rPr>
              <w:t xml:space="preserve"> za</w:t>
            </w:r>
            <w:r w:rsidRPr="00F437E3">
              <w:rPr>
                <w:rFonts w:cs="Arial"/>
                <w:szCs w:val="20"/>
                <w:lang w:eastAsia="sl-SI"/>
              </w:rPr>
              <w:t xml:space="preserve"> </w:t>
            </w:r>
            <w:proofErr w:type="spellStart"/>
            <w:r>
              <w:rPr>
                <w:rFonts w:cs="Arial"/>
                <w:szCs w:val="20"/>
                <w:lang w:eastAsia="sl-SI"/>
              </w:rPr>
              <w:t>1.b</w:t>
            </w:r>
            <w:proofErr w:type="spellEnd"/>
            <w:r>
              <w:rPr>
                <w:rFonts w:cs="Arial"/>
                <w:szCs w:val="20"/>
                <w:lang w:eastAsia="sl-SI"/>
              </w:rPr>
              <w:t xml:space="preserve"> členom doda nov </w:t>
            </w:r>
            <w:proofErr w:type="spellStart"/>
            <w:r>
              <w:rPr>
                <w:rFonts w:cs="Arial"/>
                <w:szCs w:val="20"/>
                <w:lang w:eastAsia="sl-SI"/>
              </w:rPr>
              <w:t>1.ba</w:t>
            </w:r>
            <w:proofErr w:type="spellEnd"/>
            <w:r>
              <w:rPr>
                <w:rFonts w:cs="Arial"/>
                <w:szCs w:val="20"/>
                <w:lang w:eastAsia="sl-SI"/>
              </w:rPr>
              <w:t xml:space="preserve"> člen, ki se glasi:</w:t>
            </w:r>
          </w:p>
          <w:p w:rsidR="003C737E" w:rsidRDefault="003C737E" w:rsidP="000C2F34">
            <w:pPr>
              <w:suppressAutoHyphens/>
              <w:overflowPunct w:val="0"/>
              <w:autoSpaceDE w:val="0"/>
              <w:autoSpaceDN w:val="0"/>
              <w:adjustRightInd w:val="0"/>
              <w:jc w:val="both"/>
              <w:textAlignment w:val="baseline"/>
              <w:outlineLvl w:val="3"/>
              <w:rPr>
                <w:rFonts w:cs="Arial"/>
                <w:szCs w:val="20"/>
                <w:lang w:eastAsia="sl-SI"/>
              </w:rPr>
            </w:pPr>
          </w:p>
          <w:p w:rsidR="003C737E" w:rsidRPr="005454E7" w:rsidRDefault="003C737E" w:rsidP="000C2F34">
            <w:pPr>
              <w:suppressAutoHyphens/>
              <w:overflowPunct w:val="0"/>
              <w:autoSpaceDE w:val="0"/>
              <w:autoSpaceDN w:val="0"/>
              <w:adjustRightInd w:val="0"/>
              <w:jc w:val="center"/>
              <w:textAlignment w:val="baseline"/>
              <w:outlineLvl w:val="3"/>
              <w:rPr>
                <w:rFonts w:cs="Arial"/>
                <w:b/>
                <w:szCs w:val="20"/>
                <w:lang w:eastAsia="sl-SI"/>
              </w:rPr>
            </w:pPr>
            <w:r w:rsidRPr="005454E7">
              <w:rPr>
                <w:rFonts w:cs="Arial"/>
                <w:b/>
                <w:szCs w:val="20"/>
                <w:lang w:eastAsia="sl-SI"/>
              </w:rPr>
              <w:t xml:space="preserve">»1. </w:t>
            </w:r>
            <w:proofErr w:type="spellStart"/>
            <w:r w:rsidRPr="005454E7">
              <w:rPr>
                <w:rFonts w:cs="Arial"/>
                <w:b/>
                <w:szCs w:val="20"/>
                <w:lang w:eastAsia="sl-SI"/>
              </w:rPr>
              <w:t>ba</w:t>
            </w:r>
            <w:proofErr w:type="spellEnd"/>
            <w:r w:rsidRPr="005454E7">
              <w:rPr>
                <w:rFonts w:cs="Arial"/>
                <w:b/>
                <w:szCs w:val="20"/>
                <w:lang w:eastAsia="sl-SI"/>
              </w:rPr>
              <w:t xml:space="preserve"> člen</w:t>
            </w:r>
          </w:p>
          <w:p w:rsidR="003C737E" w:rsidRDefault="003C737E" w:rsidP="000C2F34">
            <w:pPr>
              <w:suppressAutoHyphens/>
              <w:overflowPunct w:val="0"/>
              <w:autoSpaceDE w:val="0"/>
              <w:autoSpaceDN w:val="0"/>
              <w:adjustRightInd w:val="0"/>
              <w:jc w:val="both"/>
              <w:textAlignment w:val="baseline"/>
              <w:outlineLvl w:val="3"/>
              <w:rPr>
                <w:rFonts w:cs="Arial"/>
                <w:szCs w:val="20"/>
                <w:lang w:eastAsia="sl-SI"/>
              </w:rPr>
            </w:pPr>
          </w:p>
          <w:p w:rsidR="003C737E" w:rsidRDefault="003C737E" w:rsidP="000C2F34">
            <w:pPr>
              <w:suppressAutoHyphens/>
              <w:overflowPunct w:val="0"/>
              <w:autoSpaceDE w:val="0"/>
              <w:autoSpaceDN w:val="0"/>
              <w:adjustRightInd w:val="0"/>
              <w:jc w:val="both"/>
              <w:textAlignment w:val="baseline"/>
              <w:outlineLvl w:val="3"/>
              <w:rPr>
                <w:rFonts w:cs="Arial"/>
                <w:szCs w:val="20"/>
                <w:lang w:eastAsia="sl-SI"/>
              </w:rPr>
            </w:pPr>
            <w:r>
              <w:rPr>
                <w:rFonts w:cs="Arial"/>
                <w:szCs w:val="20"/>
                <w:lang w:eastAsia="sl-SI"/>
              </w:rPr>
              <w:t>Sredstva, zbrana iz naslova odškodnin zaradi spremembe namembnosti kmetijskih zemljišč, se lahko namenijo za financiranje izgradnje, sanacije ali posodobitve vodnih zadrževalnikov, ki so namenjeni tudi za namakanje kmetijskih zemljišč, in so državna vodna infrastruktura v skladu s predpisi, ki urejajo vode.</w:t>
            </w:r>
          </w:p>
          <w:p w:rsidR="003C737E" w:rsidRDefault="003C737E" w:rsidP="000C2F34">
            <w:pPr>
              <w:suppressAutoHyphens/>
              <w:overflowPunct w:val="0"/>
              <w:autoSpaceDE w:val="0"/>
              <w:autoSpaceDN w:val="0"/>
              <w:adjustRightInd w:val="0"/>
              <w:jc w:val="both"/>
              <w:textAlignment w:val="baseline"/>
              <w:outlineLvl w:val="3"/>
              <w:rPr>
                <w:rFonts w:cs="Arial"/>
                <w:szCs w:val="20"/>
                <w:lang w:eastAsia="sl-SI"/>
              </w:rPr>
            </w:pPr>
          </w:p>
          <w:p w:rsidR="003C737E" w:rsidRDefault="003C737E" w:rsidP="000C2F34">
            <w:pPr>
              <w:suppressAutoHyphens/>
              <w:overflowPunct w:val="0"/>
              <w:autoSpaceDE w:val="0"/>
              <w:autoSpaceDN w:val="0"/>
              <w:adjustRightInd w:val="0"/>
              <w:jc w:val="both"/>
              <w:textAlignment w:val="baseline"/>
              <w:outlineLvl w:val="3"/>
              <w:rPr>
                <w:rFonts w:cs="Arial"/>
                <w:szCs w:val="20"/>
                <w:lang w:eastAsia="sl-SI"/>
              </w:rPr>
            </w:pPr>
            <w:r>
              <w:rPr>
                <w:rFonts w:cs="Arial"/>
                <w:szCs w:val="20"/>
                <w:lang w:eastAsia="sl-SI"/>
              </w:rPr>
              <w:t>Višina financiranja, medsebojne pravice in obveznosti ter roki se uredijo z medsebojno pogodbo med ministrstvom, pristojnim za kmetijstvo, in investitorjem del v vodni zadrževalnik iz prejšnjega odstavka. Delež financiranja del iz prejšnjega odstavka ne sme preseči deleža, do katerega je prostornina vodnega zadrževalnika namenjena namakanju kmetijskih zemljišč.</w:t>
            </w:r>
            <w:r w:rsidRPr="00F437E3">
              <w:rPr>
                <w:rFonts w:cs="Arial"/>
                <w:szCs w:val="20"/>
                <w:lang w:eastAsia="sl-SI"/>
              </w:rPr>
              <w:t>«</w:t>
            </w:r>
            <w:r>
              <w:rPr>
                <w:rFonts w:cs="Arial"/>
                <w:szCs w:val="20"/>
                <w:lang w:eastAsia="sl-SI"/>
              </w:rPr>
              <w:t>.</w:t>
            </w:r>
          </w:p>
          <w:p w:rsidR="003C737E" w:rsidRDefault="003C737E" w:rsidP="000C2F34">
            <w:pPr>
              <w:suppressAutoHyphens/>
              <w:overflowPunct w:val="0"/>
              <w:autoSpaceDE w:val="0"/>
              <w:autoSpaceDN w:val="0"/>
              <w:adjustRightInd w:val="0"/>
              <w:jc w:val="both"/>
              <w:textAlignment w:val="baseline"/>
              <w:outlineLvl w:val="3"/>
              <w:rPr>
                <w:rFonts w:cs="Arial"/>
                <w:szCs w:val="20"/>
                <w:lang w:eastAsia="sl-SI"/>
              </w:rPr>
            </w:pPr>
          </w:p>
          <w:p w:rsidR="003C737E" w:rsidRPr="00F437E3" w:rsidRDefault="003C737E" w:rsidP="000C2F34">
            <w:pPr>
              <w:tabs>
                <w:tab w:val="left" w:pos="363"/>
              </w:tabs>
              <w:suppressAutoHyphens/>
              <w:overflowPunct w:val="0"/>
              <w:autoSpaceDE w:val="0"/>
              <w:autoSpaceDN w:val="0"/>
              <w:adjustRightInd w:val="0"/>
              <w:jc w:val="center"/>
              <w:textAlignment w:val="baseline"/>
              <w:outlineLvl w:val="3"/>
              <w:rPr>
                <w:rFonts w:cs="Arial"/>
                <w:b/>
                <w:szCs w:val="20"/>
                <w:lang w:eastAsia="sl-SI"/>
              </w:rPr>
            </w:pPr>
            <w:r w:rsidRPr="00F437E3">
              <w:rPr>
                <w:rFonts w:cs="Arial"/>
                <w:b/>
                <w:szCs w:val="20"/>
                <w:lang w:eastAsia="sl-SI"/>
              </w:rPr>
              <w:t>2. člen</w:t>
            </w:r>
          </w:p>
          <w:p w:rsidR="003C737E" w:rsidRPr="00F437E3" w:rsidRDefault="003C737E" w:rsidP="000C2F34">
            <w:pPr>
              <w:suppressAutoHyphens/>
              <w:overflowPunct w:val="0"/>
              <w:autoSpaceDE w:val="0"/>
              <w:autoSpaceDN w:val="0"/>
              <w:adjustRightInd w:val="0"/>
              <w:textAlignment w:val="baseline"/>
              <w:outlineLvl w:val="3"/>
              <w:rPr>
                <w:rFonts w:cs="Arial"/>
                <w:szCs w:val="20"/>
                <w:lang w:eastAsia="sl-SI"/>
              </w:rPr>
            </w:pPr>
          </w:p>
          <w:p w:rsidR="003C737E" w:rsidRPr="00F437E3" w:rsidRDefault="003C737E" w:rsidP="000C2F34">
            <w:pPr>
              <w:suppressAutoHyphens/>
              <w:overflowPunct w:val="0"/>
              <w:autoSpaceDE w:val="0"/>
              <w:autoSpaceDN w:val="0"/>
              <w:adjustRightInd w:val="0"/>
              <w:jc w:val="both"/>
              <w:textAlignment w:val="baseline"/>
              <w:outlineLvl w:val="3"/>
              <w:rPr>
                <w:rFonts w:cs="Arial"/>
                <w:szCs w:val="20"/>
                <w:lang w:eastAsia="sl-SI"/>
              </w:rPr>
            </w:pPr>
            <w:r w:rsidRPr="00F437E3">
              <w:rPr>
                <w:rFonts w:cs="Arial"/>
                <w:szCs w:val="20"/>
                <w:lang w:eastAsia="sl-SI"/>
              </w:rPr>
              <w:t xml:space="preserve">V </w:t>
            </w:r>
            <w:r>
              <w:rPr>
                <w:rFonts w:cs="Arial"/>
                <w:szCs w:val="20"/>
                <w:lang w:eastAsia="sl-SI"/>
              </w:rPr>
              <w:t>drugem</w:t>
            </w:r>
            <w:r w:rsidRPr="00F437E3">
              <w:rPr>
                <w:rFonts w:cs="Arial"/>
                <w:szCs w:val="20"/>
                <w:lang w:eastAsia="sl-SI"/>
              </w:rPr>
              <w:t xml:space="preserve"> odstavku </w:t>
            </w:r>
            <w:proofErr w:type="spellStart"/>
            <w:r>
              <w:rPr>
                <w:rFonts w:cs="Arial"/>
                <w:szCs w:val="20"/>
                <w:lang w:eastAsia="sl-SI"/>
              </w:rPr>
              <w:t>3.h</w:t>
            </w:r>
            <w:proofErr w:type="spellEnd"/>
            <w:r w:rsidRPr="00F437E3">
              <w:rPr>
                <w:rFonts w:cs="Arial"/>
                <w:szCs w:val="20"/>
                <w:lang w:eastAsia="sl-SI"/>
              </w:rPr>
              <w:t xml:space="preserve"> člena se </w:t>
            </w:r>
            <w:r>
              <w:rPr>
                <w:rFonts w:cs="Arial"/>
                <w:szCs w:val="20"/>
                <w:lang w:eastAsia="sl-SI"/>
              </w:rPr>
              <w:t>drugi stavek spremeni tako, da se glasi</w:t>
            </w:r>
            <w:r w:rsidRPr="00F437E3">
              <w:rPr>
                <w:rFonts w:cs="Arial"/>
                <w:szCs w:val="20"/>
                <w:lang w:eastAsia="sl-SI"/>
              </w:rPr>
              <w:t>:</w:t>
            </w:r>
          </w:p>
          <w:p w:rsidR="003C737E" w:rsidRPr="00F437E3" w:rsidRDefault="003C737E" w:rsidP="000C2F34">
            <w:pPr>
              <w:suppressAutoHyphens/>
              <w:overflowPunct w:val="0"/>
              <w:autoSpaceDE w:val="0"/>
              <w:autoSpaceDN w:val="0"/>
              <w:adjustRightInd w:val="0"/>
              <w:jc w:val="both"/>
              <w:textAlignment w:val="baseline"/>
              <w:outlineLvl w:val="3"/>
              <w:rPr>
                <w:rFonts w:cs="Arial"/>
                <w:szCs w:val="20"/>
                <w:lang w:eastAsia="sl-SI"/>
              </w:rPr>
            </w:pPr>
            <w:r w:rsidRPr="00F437E3">
              <w:rPr>
                <w:rFonts w:cs="Arial"/>
                <w:szCs w:val="20"/>
                <w:lang w:eastAsia="sl-SI"/>
              </w:rPr>
              <w:t>»</w:t>
            </w:r>
            <w:r w:rsidRPr="00BD1750">
              <w:rPr>
                <w:rFonts w:cs="Arial"/>
                <w:szCs w:val="20"/>
                <w:lang w:eastAsia="sl-SI"/>
              </w:rPr>
              <w:t xml:space="preserve">Sredstva, zbrana iz naslova odškodnin zaradi spremembe namembnosti, se namenijo za financiranje priprave in izvedbe ukrepov kmetijske zemljiške politike iz četrtega in šestega odstavka </w:t>
            </w:r>
            <w:proofErr w:type="spellStart"/>
            <w:r w:rsidRPr="00BD1750">
              <w:rPr>
                <w:rFonts w:cs="Arial"/>
                <w:szCs w:val="20"/>
                <w:lang w:eastAsia="sl-SI"/>
              </w:rPr>
              <w:t>1.b</w:t>
            </w:r>
            <w:proofErr w:type="spellEnd"/>
            <w:r w:rsidRPr="00BD1750">
              <w:rPr>
                <w:rFonts w:cs="Arial"/>
                <w:szCs w:val="20"/>
                <w:lang w:eastAsia="sl-SI"/>
              </w:rPr>
              <w:t xml:space="preserve"> člena tega zakona</w:t>
            </w:r>
            <w:r>
              <w:rPr>
                <w:rFonts w:cs="Arial"/>
                <w:szCs w:val="20"/>
                <w:lang w:eastAsia="sl-SI"/>
              </w:rPr>
              <w:t xml:space="preserve">, financiranje del iz </w:t>
            </w:r>
            <w:proofErr w:type="spellStart"/>
            <w:r>
              <w:rPr>
                <w:rFonts w:cs="Arial"/>
                <w:szCs w:val="20"/>
                <w:lang w:eastAsia="sl-SI"/>
              </w:rPr>
              <w:t>1.ba</w:t>
            </w:r>
            <w:proofErr w:type="spellEnd"/>
            <w:r>
              <w:rPr>
                <w:rFonts w:cs="Arial"/>
                <w:szCs w:val="20"/>
                <w:lang w:eastAsia="sl-SI"/>
              </w:rPr>
              <w:t xml:space="preserve"> člena tega zakona,</w:t>
            </w:r>
            <w:r w:rsidRPr="00BD1750">
              <w:rPr>
                <w:rFonts w:cs="Arial"/>
                <w:szCs w:val="20"/>
                <w:lang w:eastAsia="sl-SI"/>
              </w:rPr>
              <w:t xml:space="preserve"> za financiranje izdelave strokovnih podlag iz </w:t>
            </w:r>
            <w:proofErr w:type="spellStart"/>
            <w:r>
              <w:rPr>
                <w:rFonts w:cs="Arial"/>
                <w:szCs w:val="20"/>
                <w:lang w:eastAsia="sl-SI"/>
              </w:rPr>
              <w:t>3.c</w:t>
            </w:r>
            <w:proofErr w:type="spellEnd"/>
            <w:r>
              <w:rPr>
                <w:rFonts w:cs="Arial"/>
                <w:szCs w:val="20"/>
                <w:lang w:eastAsia="sl-SI"/>
              </w:rPr>
              <w:t xml:space="preserve"> člena tega zakona ter za financiranje drugih strokovnih podlag s področja kmetijske zemljiške politike in varstva kmetijskih zemljišč.</w:t>
            </w:r>
            <w:r w:rsidRPr="00F437E3">
              <w:rPr>
                <w:rFonts w:cs="Arial"/>
                <w:szCs w:val="20"/>
                <w:lang w:eastAsia="sl-SI"/>
              </w:rPr>
              <w:t>«</w:t>
            </w:r>
            <w:r>
              <w:rPr>
                <w:rFonts w:cs="Arial"/>
                <w:szCs w:val="20"/>
                <w:lang w:eastAsia="sl-SI"/>
              </w:rPr>
              <w:t>.</w:t>
            </w:r>
          </w:p>
          <w:p w:rsidR="003C737E" w:rsidRDefault="003C737E" w:rsidP="000C2F34">
            <w:pPr>
              <w:tabs>
                <w:tab w:val="left" w:pos="363"/>
              </w:tabs>
              <w:suppressAutoHyphens/>
              <w:overflowPunct w:val="0"/>
              <w:autoSpaceDE w:val="0"/>
              <w:autoSpaceDN w:val="0"/>
              <w:adjustRightInd w:val="0"/>
              <w:textAlignment w:val="baseline"/>
              <w:outlineLvl w:val="3"/>
              <w:rPr>
                <w:rFonts w:cs="Arial"/>
                <w:szCs w:val="20"/>
                <w:lang w:eastAsia="sl-SI"/>
              </w:rPr>
            </w:pPr>
          </w:p>
          <w:p w:rsidR="003C737E" w:rsidRPr="00F437E3" w:rsidRDefault="003C737E" w:rsidP="000C2F34">
            <w:pPr>
              <w:tabs>
                <w:tab w:val="left" w:pos="363"/>
              </w:tabs>
              <w:suppressAutoHyphens/>
              <w:overflowPunct w:val="0"/>
              <w:autoSpaceDE w:val="0"/>
              <w:autoSpaceDN w:val="0"/>
              <w:adjustRightInd w:val="0"/>
              <w:jc w:val="center"/>
              <w:textAlignment w:val="baseline"/>
              <w:outlineLvl w:val="3"/>
              <w:rPr>
                <w:rFonts w:cs="Arial"/>
                <w:b/>
                <w:szCs w:val="20"/>
                <w:lang w:eastAsia="sl-SI"/>
              </w:rPr>
            </w:pPr>
            <w:r>
              <w:rPr>
                <w:rFonts w:cs="Arial"/>
                <w:b/>
                <w:szCs w:val="20"/>
                <w:lang w:eastAsia="sl-SI"/>
              </w:rPr>
              <w:t>3</w:t>
            </w:r>
            <w:r w:rsidRPr="00F437E3">
              <w:rPr>
                <w:rFonts w:cs="Arial"/>
                <w:b/>
                <w:szCs w:val="20"/>
                <w:lang w:eastAsia="sl-SI"/>
              </w:rPr>
              <w:t>. člen</w:t>
            </w:r>
          </w:p>
          <w:p w:rsidR="003C737E" w:rsidRPr="00F437E3" w:rsidRDefault="003C737E" w:rsidP="000C2F34">
            <w:pPr>
              <w:suppressAutoHyphens/>
              <w:overflowPunct w:val="0"/>
              <w:autoSpaceDE w:val="0"/>
              <w:autoSpaceDN w:val="0"/>
              <w:adjustRightInd w:val="0"/>
              <w:textAlignment w:val="baseline"/>
              <w:outlineLvl w:val="3"/>
              <w:rPr>
                <w:rFonts w:cs="Arial"/>
                <w:szCs w:val="20"/>
                <w:lang w:eastAsia="sl-SI"/>
              </w:rPr>
            </w:pPr>
          </w:p>
          <w:p w:rsidR="003C737E" w:rsidRDefault="003C737E" w:rsidP="000C2F34">
            <w:pPr>
              <w:suppressAutoHyphens/>
              <w:overflowPunct w:val="0"/>
              <w:autoSpaceDE w:val="0"/>
              <w:autoSpaceDN w:val="0"/>
              <w:adjustRightInd w:val="0"/>
              <w:jc w:val="both"/>
              <w:textAlignment w:val="baseline"/>
              <w:outlineLvl w:val="3"/>
              <w:rPr>
                <w:rFonts w:cs="Arial"/>
                <w:szCs w:val="20"/>
                <w:lang w:eastAsia="sl-SI"/>
              </w:rPr>
            </w:pPr>
            <w:r w:rsidRPr="00F437E3">
              <w:rPr>
                <w:rFonts w:cs="Arial"/>
                <w:szCs w:val="20"/>
                <w:lang w:eastAsia="sl-SI"/>
              </w:rPr>
              <w:t xml:space="preserve">V </w:t>
            </w:r>
            <w:r>
              <w:rPr>
                <w:rFonts w:cs="Arial"/>
                <w:szCs w:val="20"/>
                <w:lang w:eastAsia="sl-SI"/>
              </w:rPr>
              <w:t>prvem</w:t>
            </w:r>
            <w:r w:rsidRPr="00F437E3">
              <w:rPr>
                <w:rFonts w:cs="Arial"/>
                <w:szCs w:val="20"/>
                <w:lang w:eastAsia="sl-SI"/>
              </w:rPr>
              <w:t xml:space="preserve"> odstavku </w:t>
            </w:r>
            <w:proofErr w:type="spellStart"/>
            <w:r>
              <w:rPr>
                <w:rFonts w:cs="Arial"/>
                <w:szCs w:val="20"/>
                <w:lang w:eastAsia="sl-SI"/>
              </w:rPr>
              <w:t>97.a</w:t>
            </w:r>
            <w:proofErr w:type="spellEnd"/>
            <w:r w:rsidRPr="00F437E3">
              <w:rPr>
                <w:rFonts w:cs="Arial"/>
                <w:szCs w:val="20"/>
                <w:lang w:eastAsia="sl-SI"/>
              </w:rPr>
              <w:t xml:space="preserve"> člena se </w:t>
            </w:r>
            <w:r w:rsidR="00081469">
              <w:rPr>
                <w:rFonts w:cs="Arial"/>
                <w:szCs w:val="20"/>
                <w:lang w:eastAsia="sl-SI"/>
              </w:rPr>
              <w:t xml:space="preserve">črta </w:t>
            </w:r>
            <w:r>
              <w:rPr>
                <w:rFonts w:cs="Arial"/>
                <w:szCs w:val="20"/>
                <w:lang w:eastAsia="sl-SI"/>
              </w:rPr>
              <w:t xml:space="preserve">besedilo </w:t>
            </w:r>
            <w:r w:rsidRPr="00F437E3">
              <w:rPr>
                <w:rFonts w:cs="Arial"/>
                <w:szCs w:val="20"/>
                <w:lang w:eastAsia="sl-SI"/>
              </w:rPr>
              <w:t>»</w:t>
            </w:r>
            <w:r>
              <w:rPr>
                <w:rFonts w:cs="Arial"/>
                <w:szCs w:val="20"/>
                <w:lang w:eastAsia="sl-SI"/>
              </w:rPr>
              <w:t>lastniki zemljišč, po katerih poteka državni namakalni sistem,</w:t>
            </w:r>
            <w:r w:rsidRPr="00F437E3">
              <w:rPr>
                <w:rFonts w:cs="Arial"/>
                <w:szCs w:val="20"/>
                <w:lang w:eastAsia="sl-SI"/>
              </w:rPr>
              <w:t>«</w:t>
            </w:r>
            <w:r>
              <w:rPr>
                <w:rFonts w:cs="Arial"/>
                <w:szCs w:val="20"/>
                <w:lang w:eastAsia="sl-SI"/>
              </w:rPr>
              <w:t>.</w:t>
            </w:r>
          </w:p>
          <w:p w:rsidR="003C737E" w:rsidRDefault="003C737E" w:rsidP="000C2F34">
            <w:pPr>
              <w:tabs>
                <w:tab w:val="left" w:pos="363"/>
              </w:tabs>
              <w:suppressAutoHyphens/>
              <w:overflowPunct w:val="0"/>
              <w:autoSpaceDE w:val="0"/>
              <w:autoSpaceDN w:val="0"/>
              <w:adjustRightInd w:val="0"/>
              <w:textAlignment w:val="baseline"/>
              <w:outlineLvl w:val="3"/>
              <w:rPr>
                <w:rFonts w:cs="Arial"/>
                <w:szCs w:val="20"/>
                <w:lang w:eastAsia="sl-SI"/>
              </w:rPr>
            </w:pPr>
          </w:p>
          <w:p w:rsidR="003C737E" w:rsidRPr="00F437E3" w:rsidRDefault="003C737E" w:rsidP="000C2F34">
            <w:pPr>
              <w:tabs>
                <w:tab w:val="left" w:pos="363"/>
              </w:tabs>
              <w:suppressAutoHyphens/>
              <w:overflowPunct w:val="0"/>
              <w:autoSpaceDE w:val="0"/>
              <w:autoSpaceDN w:val="0"/>
              <w:adjustRightInd w:val="0"/>
              <w:textAlignment w:val="baseline"/>
              <w:outlineLvl w:val="3"/>
              <w:rPr>
                <w:rFonts w:cs="Arial"/>
                <w:szCs w:val="20"/>
                <w:lang w:eastAsia="sl-SI"/>
              </w:rPr>
            </w:pPr>
          </w:p>
          <w:p w:rsidR="003C737E" w:rsidRPr="00F437E3" w:rsidRDefault="003C737E" w:rsidP="000C2F34">
            <w:pPr>
              <w:tabs>
                <w:tab w:val="left" w:pos="363"/>
              </w:tabs>
              <w:suppressAutoHyphens/>
              <w:overflowPunct w:val="0"/>
              <w:autoSpaceDE w:val="0"/>
              <w:autoSpaceDN w:val="0"/>
              <w:adjustRightInd w:val="0"/>
              <w:jc w:val="center"/>
              <w:textAlignment w:val="baseline"/>
              <w:outlineLvl w:val="3"/>
              <w:rPr>
                <w:rFonts w:cs="Arial"/>
                <w:b/>
                <w:szCs w:val="20"/>
                <w:lang w:eastAsia="sl-SI"/>
              </w:rPr>
            </w:pPr>
            <w:r w:rsidRPr="00F437E3">
              <w:rPr>
                <w:rFonts w:cs="Arial"/>
                <w:b/>
                <w:szCs w:val="20"/>
                <w:lang w:eastAsia="sl-SI"/>
              </w:rPr>
              <w:t>KONČNA DOLOČBA</w:t>
            </w:r>
          </w:p>
          <w:p w:rsidR="003C737E" w:rsidRPr="00F437E3" w:rsidRDefault="003C737E" w:rsidP="000C2F34">
            <w:pPr>
              <w:suppressAutoHyphens/>
              <w:overflowPunct w:val="0"/>
              <w:autoSpaceDE w:val="0"/>
              <w:autoSpaceDN w:val="0"/>
              <w:adjustRightInd w:val="0"/>
              <w:textAlignment w:val="baseline"/>
              <w:outlineLvl w:val="3"/>
              <w:rPr>
                <w:rFonts w:cs="Arial"/>
                <w:szCs w:val="20"/>
                <w:lang w:eastAsia="sl-SI"/>
              </w:rPr>
            </w:pPr>
          </w:p>
          <w:p w:rsidR="003C737E" w:rsidRPr="00F437E3" w:rsidRDefault="003C737E" w:rsidP="000C2F34">
            <w:pPr>
              <w:tabs>
                <w:tab w:val="left" w:pos="363"/>
              </w:tabs>
              <w:suppressAutoHyphens/>
              <w:overflowPunct w:val="0"/>
              <w:autoSpaceDE w:val="0"/>
              <w:autoSpaceDN w:val="0"/>
              <w:adjustRightInd w:val="0"/>
              <w:jc w:val="center"/>
              <w:textAlignment w:val="baseline"/>
              <w:outlineLvl w:val="3"/>
              <w:rPr>
                <w:rFonts w:cs="Arial"/>
                <w:b/>
                <w:szCs w:val="20"/>
                <w:lang w:eastAsia="sl-SI"/>
              </w:rPr>
            </w:pPr>
            <w:r w:rsidRPr="00F437E3">
              <w:rPr>
                <w:rFonts w:cs="Arial"/>
                <w:b/>
                <w:szCs w:val="20"/>
                <w:lang w:eastAsia="sl-SI"/>
              </w:rPr>
              <w:t>4. člen</w:t>
            </w:r>
          </w:p>
          <w:p w:rsidR="003C737E" w:rsidRPr="00F437E3" w:rsidRDefault="003C737E" w:rsidP="000C2F34">
            <w:pPr>
              <w:suppressAutoHyphens/>
              <w:overflowPunct w:val="0"/>
              <w:autoSpaceDE w:val="0"/>
              <w:autoSpaceDN w:val="0"/>
              <w:adjustRightInd w:val="0"/>
              <w:textAlignment w:val="baseline"/>
              <w:outlineLvl w:val="3"/>
              <w:rPr>
                <w:rFonts w:cs="Arial"/>
                <w:szCs w:val="20"/>
                <w:lang w:eastAsia="sl-SI"/>
              </w:rPr>
            </w:pPr>
          </w:p>
          <w:p w:rsidR="003C737E" w:rsidRPr="00F437E3" w:rsidRDefault="003C737E" w:rsidP="000C2F34">
            <w:pPr>
              <w:suppressAutoHyphens/>
              <w:overflowPunct w:val="0"/>
              <w:autoSpaceDE w:val="0"/>
              <w:autoSpaceDN w:val="0"/>
              <w:adjustRightInd w:val="0"/>
              <w:jc w:val="both"/>
              <w:textAlignment w:val="baseline"/>
              <w:outlineLvl w:val="3"/>
              <w:rPr>
                <w:rFonts w:cs="Arial"/>
                <w:szCs w:val="20"/>
                <w:lang w:eastAsia="sl-SI"/>
              </w:rPr>
            </w:pPr>
            <w:r w:rsidRPr="00F437E3">
              <w:rPr>
                <w:rFonts w:cs="Arial"/>
                <w:szCs w:val="20"/>
                <w:lang w:eastAsia="sl-SI"/>
              </w:rPr>
              <w:t>Ta zakon začne veljati petnajsti dan po objavi v Uradnem listu Republike Slovenije.</w:t>
            </w:r>
          </w:p>
          <w:p w:rsidR="003C737E" w:rsidRPr="00F437E3" w:rsidRDefault="003C737E" w:rsidP="000C2F34">
            <w:pPr>
              <w:suppressAutoHyphens/>
              <w:overflowPunct w:val="0"/>
              <w:autoSpaceDE w:val="0"/>
              <w:autoSpaceDN w:val="0"/>
              <w:adjustRightInd w:val="0"/>
              <w:textAlignment w:val="baseline"/>
              <w:outlineLvl w:val="3"/>
              <w:rPr>
                <w:rFonts w:cs="Arial"/>
                <w:b/>
                <w:szCs w:val="20"/>
                <w:lang w:eastAsia="sl-SI"/>
              </w:rPr>
            </w:pPr>
          </w:p>
          <w:p w:rsidR="003C737E" w:rsidRDefault="003C737E" w:rsidP="000C2F34">
            <w:pPr>
              <w:suppressAutoHyphens/>
              <w:overflowPunct w:val="0"/>
              <w:autoSpaceDE w:val="0"/>
              <w:autoSpaceDN w:val="0"/>
              <w:adjustRightInd w:val="0"/>
              <w:textAlignment w:val="baseline"/>
              <w:outlineLvl w:val="3"/>
              <w:rPr>
                <w:rFonts w:cs="Arial"/>
                <w:b/>
                <w:szCs w:val="20"/>
                <w:lang w:eastAsia="sl-SI"/>
              </w:rPr>
            </w:pPr>
          </w:p>
          <w:p w:rsidR="00122E2D" w:rsidRDefault="00122E2D" w:rsidP="000C2F34">
            <w:pPr>
              <w:suppressAutoHyphens/>
              <w:overflowPunct w:val="0"/>
              <w:autoSpaceDE w:val="0"/>
              <w:autoSpaceDN w:val="0"/>
              <w:adjustRightInd w:val="0"/>
              <w:textAlignment w:val="baseline"/>
              <w:outlineLvl w:val="3"/>
              <w:rPr>
                <w:rFonts w:cs="Arial"/>
                <w:b/>
                <w:szCs w:val="20"/>
                <w:lang w:eastAsia="sl-SI"/>
              </w:rPr>
            </w:pPr>
          </w:p>
          <w:p w:rsidR="00122E2D" w:rsidRDefault="00122E2D" w:rsidP="000C2F34">
            <w:pPr>
              <w:suppressAutoHyphens/>
              <w:overflowPunct w:val="0"/>
              <w:autoSpaceDE w:val="0"/>
              <w:autoSpaceDN w:val="0"/>
              <w:adjustRightInd w:val="0"/>
              <w:textAlignment w:val="baseline"/>
              <w:outlineLvl w:val="3"/>
              <w:rPr>
                <w:rFonts w:cs="Arial"/>
                <w:b/>
                <w:szCs w:val="20"/>
                <w:lang w:eastAsia="sl-SI"/>
              </w:rPr>
            </w:pPr>
          </w:p>
          <w:p w:rsidR="00122E2D" w:rsidRPr="00F437E3" w:rsidRDefault="00122E2D" w:rsidP="000C2F34">
            <w:pPr>
              <w:suppressAutoHyphens/>
              <w:overflowPunct w:val="0"/>
              <w:autoSpaceDE w:val="0"/>
              <w:autoSpaceDN w:val="0"/>
              <w:adjustRightInd w:val="0"/>
              <w:textAlignment w:val="baseline"/>
              <w:outlineLvl w:val="3"/>
              <w:rPr>
                <w:rFonts w:cs="Arial"/>
                <w:b/>
                <w:szCs w:val="20"/>
                <w:lang w:eastAsia="sl-SI"/>
              </w:rPr>
            </w:pPr>
          </w:p>
        </w:tc>
      </w:tr>
      <w:tr w:rsidR="003C737E" w:rsidRPr="00F437E3" w:rsidTr="000C2F34">
        <w:tc>
          <w:tcPr>
            <w:tcW w:w="8931" w:type="dxa"/>
          </w:tcPr>
          <w:p w:rsidR="003C737E" w:rsidRPr="00F437E3" w:rsidRDefault="003C737E" w:rsidP="000C2F34">
            <w:pPr>
              <w:suppressAutoHyphens/>
              <w:overflowPunct w:val="0"/>
              <w:autoSpaceDE w:val="0"/>
              <w:autoSpaceDN w:val="0"/>
              <w:adjustRightInd w:val="0"/>
              <w:textAlignment w:val="baseline"/>
              <w:outlineLvl w:val="3"/>
              <w:rPr>
                <w:rFonts w:cs="Arial"/>
                <w:b/>
                <w:szCs w:val="20"/>
                <w:lang w:eastAsia="sl-SI"/>
              </w:rPr>
            </w:pPr>
            <w:r w:rsidRPr="00F437E3">
              <w:rPr>
                <w:rFonts w:cs="Arial"/>
                <w:b/>
                <w:szCs w:val="20"/>
                <w:lang w:eastAsia="sl-SI"/>
              </w:rPr>
              <w:lastRenderedPageBreak/>
              <w:t>II. OBRAZLOŽITEV</w:t>
            </w:r>
          </w:p>
        </w:tc>
      </w:tr>
      <w:tr w:rsidR="003C737E" w:rsidRPr="00F437E3" w:rsidTr="000C2F34">
        <w:tc>
          <w:tcPr>
            <w:tcW w:w="8931" w:type="dxa"/>
          </w:tcPr>
          <w:p w:rsidR="003C737E" w:rsidRPr="00F437E3" w:rsidRDefault="003C737E" w:rsidP="000C2F34">
            <w:pPr>
              <w:jc w:val="both"/>
              <w:rPr>
                <w:rFonts w:cs="Arial"/>
                <w:b/>
                <w:szCs w:val="20"/>
              </w:rPr>
            </w:pPr>
          </w:p>
          <w:p w:rsidR="003C737E" w:rsidRPr="00F437E3" w:rsidRDefault="003C737E" w:rsidP="000C2F34">
            <w:pPr>
              <w:jc w:val="both"/>
              <w:rPr>
                <w:rFonts w:cs="Arial"/>
                <w:b/>
              </w:rPr>
            </w:pPr>
            <w:r w:rsidRPr="00F437E3">
              <w:rPr>
                <w:rFonts w:cs="Arial"/>
                <w:b/>
              </w:rPr>
              <w:t>K 1. členu</w:t>
            </w:r>
          </w:p>
          <w:p w:rsidR="003C737E" w:rsidRDefault="003C737E" w:rsidP="000C2F34">
            <w:pPr>
              <w:jc w:val="both"/>
              <w:rPr>
                <w:rFonts w:cs="Arial"/>
                <w:szCs w:val="20"/>
              </w:rPr>
            </w:pPr>
            <w:r>
              <w:rPr>
                <w:rFonts w:cs="Arial"/>
                <w:szCs w:val="20"/>
              </w:rPr>
              <w:t>Sredstva, zbrana iz naslova odškodnin zaradi spremembe namembnosti kmetijskega zemljišča, so se po trenutno veljavni zakonodaji namenjala za ukrepe kmetijske zemljiške politike (odpravljanje zaraščanja in izvedba agrarnih operacij) in pripravo strokovnih podlag za določanje trajno varovanih kmetijskih zemljišč.</w:t>
            </w:r>
          </w:p>
          <w:p w:rsidR="003C737E" w:rsidRDefault="003C737E" w:rsidP="000C2F34">
            <w:pPr>
              <w:jc w:val="both"/>
              <w:rPr>
                <w:rFonts w:cs="Arial"/>
                <w:szCs w:val="20"/>
              </w:rPr>
            </w:pPr>
          </w:p>
          <w:p w:rsidR="003C737E" w:rsidRDefault="003C737E" w:rsidP="000C2F34">
            <w:pPr>
              <w:suppressAutoHyphens/>
              <w:overflowPunct w:val="0"/>
              <w:autoSpaceDE w:val="0"/>
              <w:autoSpaceDN w:val="0"/>
              <w:adjustRightInd w:val="0"/>
              <w:jc w:val="both"/>
              <w:textAlignment w:val="baseline"/>
              <w:outlineLvl w:val="3"/>
              <w:rPr>
                <w:rFonts w:cs="Arial"/>
                <w:szCs w:val="20"/>
              </w:rPr>
            </w:pPr>
            <w:r>
              <w:rPr>
                <w:rFonts w:cs="Arial"/>
                <w:szCs w:val="20"/>
              </w:rPr>
              <w:t xml:space="preserve">Z novim </w:t>
            </w:r>
            <w:proofErr w:type="spellStart"/>
            <w:r>
              <w:rPr>
                <w:rFonts w:cs="Arial"/>
                <w:szCs w:val="20"/>
              </w:rPr>
              <w:t>1.ba</w:t>
            </w:r>
            <w:proofErr w:type="spellEnd"/>
            <w:r>
              <w:rPr>
                <w:rFonts w:cs="Arial"/>
                <w:szCs w:val="20"/>
              </w:rPr>
              <w:t xml:space="preserve"> členom pa se daje možnost, da se iz naslova odškodnin</w:t>
            </w:r>
            <w:r w:rsidR="00081469">
              <w:rPr>
                <w:rFonts w:cs="Arial"/>
                <w:szCs w:val="20"/>
              </w:rPr>
              <w:t xml:space="preserve"> zaradi</w:t>
            </w:r>
            <w:r>
              <w:rPr>
                <w:rFonts w:cs="Arial"/>
                <w:szCs w:val="20"/>
              </w:rPr>
              <w:t xml:space="preserve"> spremembe namembnosti kmetijskih zemljišč, financirajo tudi izgradnja, sanacija in posodobitev vodnih zadrževalnikov, pri čemer morata biti izpolnjena pogoja, da gre za vodni zadrževalnik, ki je v lasti države, in da je vsaj </w:t>
            </w:r>
            <w:r w:rsidR="00081469">
              <w:rPr>
                <w:rFonts w:cs="Arial"/>
                <w:szCs w:val="20"/>
              </w:rPr>
              <w:t>delno</w:t>
            </w:r>
            <w:r>
              <w:rPr>
                <w:rFonts w:cs="Arial"/>
                <w:szCs w:val="20"/>
              </w:rPr>
              <w:t xml:space="preserve"> namenjen za namakanje kmetijskih zemljišč.</w:t>
            </w:r>
          </w:p>
          <w:p w:rsidR="003C737E" w:rsidRDefault="003C737E" w:rsidP="000C2F34">
            <w:pPr>
              <w:suppressAutoHyphens/>
              <w:overflowPunct w:val="0"/>
              <w:autoSpaceDE w:val="0"/>
              <w:autoSpaceDN w:val="0"/>
              <w:adjustRightInd w:val="0"/>
              <w:jc w:val="both"/>
              <w:textAlignment w:val="baseline"/>
              <w:outlineLvl w:val="3"/>
              <w:rPr>
                <w:rFonts w:cs="Arial"/>
                <w:szCs w:val="20"/>
              </w:rPr>
            </w:pPr>
          </w:p>
          <w:p w:rsidR="003C737E" w:rsidRDefault="003C737E" w:rsidP="000C2F34">
            <w:pPr>
              <w:suppressAutoHyphens/>
              <w:overflowPunct w:val="0"/>
              <w:autoSpaceDE w:val="0"/>
              <w:autoSpaceDN w:val="0"/>
              <w:adjustRightInd w:val="0"/>
              <w:jc w:val="both"/>
              <w:textAlignment w:val="baseline"/>
              <w:outlineLvl w:val="3"/>
              <w:rPr>
                <w:rFonts w:cs="Arial"/>
                <w:szCs w:val="20"/>
              </w:rPr>
            </w:pPr>
            <w:r>
              <w:rPr>
                <w:rFonts w:cs="Arial"/>
                <w:szCs w:val="20"/>
              </w:rPr>
              <w:t>V primer</w:t>
            </w:r>
            <w:r w:rsidR="00081469">
              <w:rPr>
                <w:rFonts w:cs="Arial"/>
                <w:szCs w:val="20"/>
              </w:rPr>
              <w:t>u</w:t>
            </w:r>
            <w:r>
              <w:rPr>
                <w:rFonts w:cs="Arial"/>
                <w:szCs w:val="20"/>
              </w:rPr>
              <w:t>, da gre za večnamenski vodni zadrževalnik, se po tem členu lahko financirajo dela le do deleža, do katerega je voda v zadrževalniku namenjena namakanju kmetijskih zemljišč (na primer: 70 % prostornine zadrževalnika je namenjene za namakanje kmetijskih zemljišč, 30 % prostornine zadrževalnika pa je namenjenega za protipoplavno zaščito).</w:t>
            </w:r>
          </w:p>
          <w:p w:rsidR="003C737E" w:rsidRDefault="003C737E" w:rsidP="000C2F34">
            <w:pPr>
              <w:suppressAutoHyphens/>
              <w:overflowPunct w:val="0"/>
              <w:autoSpaceDE w:val="0"/>
              <w:autoSpaceDN w:val="0"/>
              <w:adjustRightInd w:val="0"/>
              <w:jc w:val="both"/>
              <w:textAlignment w:val="baseline"/>
              <w:outlineLvl w:val="3"/>
              <w:rPr>
                <w:rFonts w:cs="Arial"/>
                <w:szCs w:val="20"/>
              </w:rPr>
            </w:pPr>
          </w:p>
          <w:p w:rsidR="003C737E" w:rsidRDefault="003C737E" w:rsidP="000C2F34">
            <w:pPr>
              <w:suppressAutoHyphens/>
              <w:overflowPunct w:val="0"/>
              <w:autoSpaceDE w:val="0"/>
              <w:autoSpaceDN w:val="0"/>
              <w:adjustRightInd w:val="0"/>
              <w:jc w:val="both"/>
              <w:textAlignment w:val="baseline"/>
              <w:outlineLvl w:val="3"/>
              <w:rPr>
                <w:rFonts w:cs="Arial"/>
                <w:szCs w:val="20"/>
              </w:rPr>
            </w:pPr>
            <w:r>
              <w:rPr>
                <w:rFonts w:cs="Arial"/>
                <w:szCs w:val="20"/>
              </w:rPr>
              <w:t>Financiranje del se uredi s pogodbo med Ministrstvom za kmetijstvo, gozdarstvo in prehrano ter Ministrstvom za okolje in prostor, Direkcijo RS za vode, v kateri se med drugimi pravicami in obveznostmi med strankama določi delež financiranja s strani Ministrstva za kmetijstvo, gozdarstvo in prehrano.</w:t>
            </w:r>
          </w:p>
          <w:p w:rsidR="003C737E" w:rsidRDefault="003C737E" w:rsidP="000C2F34">
            <w:pPr>
              <w:suppressAutoHyphens/>
              <w:overflowPunct w:val="0"/>
              <w:autoSpaceDE w:val="0"/>
              <w:autoSpaceDN w:val="0"/>
              <w:adjustRightInd w:val="0"/>
              <w:jc w:val="both"/>
              <w:textAlignment w:val="baseline"/>
              <w:outlineLvl w:val="3"/>
              <w:rPr>
                <w:rFonts w:cs="Arial"/>
                <w:szCs w:val="20"/>
              </w:rPr>
            </w:pPr>
          </w:p>
          <w:p w:rsidR="003C737E" w:rsidRDefault="003C737E" w:rsidP="000C2F34">
            <w:pPr>
              <w:suppressAutoHyphens/>
              <w:overflowPunct w:val="0"/>
              <w:autoSpaceDE w:val="0"/>
              <w:autoSpaceDN w:val="0"/>
              <w:adjustRightInd w:val="0"/>
              <w:jc w:val="both"/>
              <w:textAlignment w:val="baseline"/>
              <w:outlineLvl w:val="3"/>
              <w:rPr>
                <w:rFonts w:cs="Arial"/>
                <w:szCs w:val="20"/>
              </w:rPr>
            </w:pPr>
            <w:r>
              <w:rPr>
                <w:rFonts w:cs="Arial"/>
                <w:szCs w:val="20"/>
              </w:rPr>
              <w:t>Izvedbo celotnega projekta izgradnje, sanacije ali posodobitve vodnega zadrževalnika izvede investitor, ki je Ministrstvo za okolje in prostor, Direkcija RS za vode.</w:t>
            </w:r>
          </w:p>
          <w:p w:rsidR="003C737E" w:rsidRPr="00F437E3" w:rsidRDefault="003C737E" w:rsidP="000C2F34">
            <w:pPr>
              <w:jc w:val="both"/>
              <w:rPr>
                <w:rFonts w:cs="Arial"/>
                <w:szCs w:val="20"/>
              </w:rPr>
            </w:pPr>
          </w:p>
          <w:p w:rsidR="003C737E" w:rsidRPr="00F437E3" w:rsidRDefault="003C737E" w:rsidP="000C2F34">
            <w:pPr>
              <w:jc w:val="both"/>
              <w:rPr>
                <w:rFonts w:cs="Arial"/>
                <w:b/>
              </w:rPr>
            </w:pPr>
            <w:r w:rsidRPr="00F437E3">
              <w:rPr>
                <w:rFonts w:cs="Arial"/>
                <w:b/>
              </w:rPr>
              <w:t>K 2. členu</w:t>
            </w:r>
          </w:p>
          <w:p w:rsidR="003C737E" w:rsidRDefault="003C737E" w:rsidP="000C2F34">
            <w:pPr>
              <w:jc w:val="both"/>
              <w:rPr>
                <w:rFonts w:cs="Arial"/>
              </w:rPr>
            </w:pPr>
            <w:r>
              <w:rPr>
                <w:rFonts w:cs="Arial"/>
              </w:rPr>
              <w:t xml:space="preserve">Sprememba </w:t>
            </w:r>
            <w:proofErr w:type="spellStart"/>
            <w:r>
              <w:rPr>
                <w:rFonts w:cs="Arial"/>
              </w:rPr>
              <w:t>3.h</w:t>
            </w:r>
            <w:proofErr w:type="spellEnd"/>
            <w:r>
              <w:rPr>
                <w:rFonts w:cs="Arial"/>
              </w:rPr>
              <w:t xml:space="preserve"> člena je potrebna zaradi uskladitve z novim </w:t>
            </w:r>
            <w:proofErr w:type="spellStart"/>
            <w:r>
              <w:rPr>
                <w:rFonts w:cs="Arial"/>
              </w:rPr>
              <w:t>1.ba</w:t>
            </w:r>
            <w:proofErr w:type="spellEnd"/>
            <w:r>
              <w:rPr>
                <w:rFonts w:cs="Arial"/>
              </w:rPr>
              <w:t xml:space="preserve"> členom.</w:t>
            </w:r>
          </w:p>
          <w:p w:rsidR="003C737E" w:rsidRDefault="003C737E" w:rsidP="000C2F34">
            <w:pPr>
              <w:jc w:val="both"/>
              <w:rPr>
                <w:rFonts w:cs="Arial"/>
              </w:rPr>
            </w:pPr>
          </w:p>
          <w:p w:rsidR="003C737E" w:rsidRDefault="003C737E" w:rsidP="000C2F34">
            <w:pPr>
              <w:jc w:val="both"/>
              <w:rPr>
                <w:rFonts w:cs="Arial"/>
              </w:rPr>
            </w:pPr>
            <w:r>
              <w:rPr>
                <w:rFonts w:cs="Arial"/>
              </w:rPr>
              <w:t xml:space="preserve">Poleg tega se dodaja tudi možnost financiranja drugih strokovnih podlag </w:t>
            </w:r>
            <w:r>
              <w:rPr>
                <w:rFonts w:cs="Arial"/>
                <w:szCs w:val="20"/>
                <w:lang w:eastAsia="sl-SI"/>
              </w:rPr>
              <w:t xml:space="preserve"> s področja kmetijske zemljiške politike in varstva kmetijskih zemljišč iz odškodnin zaradi spremembe namembnosti kmetijskih zemljišč (na primer: analize stanja namakalnih sistemov). </w:t>
            </w:r>
          </w:p>
          <w:p w:rsidR="003C737E" w:rsidRPr="00F437E3" w:rsidRDefault="003C737E" w:rsidP="000C2F34">
            <w:pPr>
              <w:jc w:val="both"/>
              <w:rPr>
                <w:rFonts w:cs="Arial"/>
              </w:rPr>
            </w:pPr>
          </w:p>
          <w:p w:rsidR="003C737E" w:rsidRPr="00F437E3" w:rsidRDefault="003C737E" w:rsidP="000C2F34">
            <w:pPr>
              <w:jc w:val="both"/>
              <w:rPr>
                <w:rFonts w:cs="Arial"/>
                <w:b/>
              </w:rPr>
            </w:pPr>
            <w:r w:rsidRPr="00F437E3">
              <w:rPr>
                <w:rFonts w:cs="Arial"/>
                <w:b/>
              </w:rPr>
              <w:t>K 3. členu</w:t>
            </w:r>
          </w:p>
          <w:p w:rsidR="003C737E" w:rsidRDefault="003C737E" w:rsidP="000C2F34">
            <w:pPr>
              <w:jc w:val="both"/>
              <w:rPr>
                <w:rFonts w:cs="Arial"/>
                <w:szCs w:val="20"/>
                <w:lang w:eastAsia="sl-SI"/>
              </w:rPr>
            </w:pPr>
            <w:r>
              <w:rPr>
                <w:rFonts w:cs="Arial"/>
                <w:szCs w:val="20"/>
                <w:lang w:eastAsia="sl-SI"/>
              </w:rPr>
              <w:t xml:space="preserve">Sprememba </w:t>
            </w:r>
            <w:proofErr w:type="spellStart"/>
            <w:r>
              <w:rPr>
                <w:rFonts w:cs="Arial"/>
                <w:szCs w:val="20"/>
                <w:lang w:eastAsia="sl-SI"/>
              </w:rPr>
              <w:t>97.a</w:t>
            </w:r>
            <w:proofErr w:type="spellEnd"/>
            <w:r>
              <w:rPr>
                <w:rFonts w:cs="Arial"/>
                <w:szCs w:val="20"/>
                <w:lang w:eastAsia="sl-SI"/>
              </w:rPr>
              <w:t xml:space="preserve"> člena poenostavlja (omogoča) prenos </w:t>
            </w:r>
            <w:r w:rsidRPr="00AF3D88">
              <w:rPr>
                <w:rFonts w:cs="Arial"/>
                <w:szCs w:val="20"/>
                <w:lang w:eastAsia="sl-SI"/>
              </w:rPr>
              <w:t xml:space="preserve">lastninske pravice na </w:t>
            </w:r>
            <w:r>
              <w:rPr>
                <w:rFonts w:cs="Arial"/>
                <w:szCs w:val="20"/>
                <w:lang w:eastAsia="sl-SI"/>
              </w:rPr>
              <w:t xml:space="preserve">državnem namakalnem sistemu na lokalno skupnost na način, da pogodbo o prenosu </w:t>
            </w:r>
            <w:r w:rsidRPr="00AF3D88">
              <w:rPr>
                <w:rFonts w:cs="Arial"/>
                <w:szCs w:val="20"/>
                <w:lang w:eastAsia="sl-SI"/>
              </w:rPr>
              <w:t xml:space="preserve">lastninske pravice na </w:t>
            </w:r>
            <w:r>
              <w:rPr>
                <w:rFonts w:cs="Arial"/>
                <w:szCs w:val="20"/>
                <w:lang w:eastAsia="sl-SI"/>
              </w:rPr>
              <w:t>državnem namakalnem sistemu podpišeta Ministrstvo za kmetijstvo, gozdarstvo in prehrano ter občina.</w:t>
            </w:r>
          </w:p>
          <w:p w:rsidR="003C737E" w:rsidRDefault="003C737E" w:rsidP="000C2F34">
            <w:pPr>
              <w:jc w:val="both"/>
              <w:rPr>
                <w:rFonts w:cs="Arial"/>
                <w:szCs w:val="20"/>
                <w:lang w:eastAsia="sl-SI"/>
              </w:rPr>
            </w:pPr>
          </w:p>
          <w:p w:rsidR="003C737E" w:rsidRDefault="003C737E" w:rsidP="000C2F34">
            <w:pPr>
              <w:jc w:val="both"/>
              <w:rPr>
                <w:rFonts w:cs="Arial"/>
                <w:szCs w:val="20"/>
                <w:lang w:eastAsia="sl-SI"/>
              </w:rPr>
            </w:pPr>
            <w:r>
              <w:rPr>
                <w:rFonts w:cs="Arial"/>
                <w:szCs w:val="20"/>
                <w:lang w:eastAsia="sl-SI"/>
              </w:rPr>
              <w:t xml:space="preserve">Dosedanja ureditev, po kateri morajo pogodbo o prenosu </w:t>
            </w:r>
            <w:r w:rsidRPr="00AF3D88">
              <w:rPr>
                <w:rFonts w:cs="Arial"/>
                <w:szCs w:val="20"/>
                <w:lang w:eastAsia="sl-SI"/>
              </w:rPr>
              <w:t xml:space="preserve">lastninske pravice na </w:t>
            </w:r>
            <w:r>
              <w:rPr>
                <w:rFonts w:cs="Arial"/>
                <w:szCs w:val="20"/>
                <w:lang w:eastAsia="sl-SI"/>
              </w:rPr>
              <w:t>državnem namakalnem sistemu podpisati tudi vsi lastniki zemljišč, po katerih poteka državni namakalni sistem, se je v praksi izkazala za neizvedljivo, saj skoraj v nobenem primeru ni mogoče zagotoviti podpis</w:t>
            </w:r>
            <w:r w:rsidR="00081469">
              <w:rPr>
                <w:rFonts w:cs="Arial"/>
                <w:szCs w:val="20"/>
                <w:lang w:eastAsia="sl-SI"/>
              </w:rPr>
              <w:t>a</w:t>
            </w:r>
            <w:r>
              <w:rPr>
                <w:rFonts w:cs="Arial"/>
                <w:szCs w:val="20"/>
                <w:lang w:eastAsia="sl-SI"/>
              </w:rPr>
              <w:t xml:space="preserve"> pogodbe s strani vseh lastnikov.</w:t>
            </w:r>
          </w:p>
          <w:p w:rsidR="003C737E" w:rsidRDefault="003C737E" w:rsidP="000C2F34">
            <w:pPr>
              <w:jc w:val="both"/>
              <w:rPr>
                <w:rFonts w:cs="Arial"/>
                <w:szCs w:val="20"/>
                <w:lang w:eastAsia="sl-SI"/>
              </w:rPr>
            </w:pPr>
          </w:p>
          <w:p w:rsidR="003C737E" w:rsidRDefault="003C737E" w:rsidP="000C2F34">
            <w:pPr>
              <w:jc w:val="both"/>
              <w:rPr>
                <w:rFonts w:cs="Arial"/>
                <w:szCs w:val="20"/>
                <w:lang w:eastAsia="sl-SI"/>
              </w:rPr>
            </w:pPr>
            <w:r>
              <w:rPr>
                <w:rFonts w:cs="Arial"/>
                <w:szCs w:val="20"/>
                <w:lang w:eastAsia="sl-SI"/>
              </w:rPr>
              <w:t>Za lastnike kmetijskih zemljišč oziroma uporabnike namakalnega sistema sprememba v praksi ne pomeni poslabšanja njihovega položaja, prav tako kot država pa je občina subjekt javnega prava, od katere se pričakuje gospodarno in pregledno poslovanje.</w:t>
            </w:r>
          </w:p>
          <w:p w:rsidR="003C737E" w:rsidRPr="00F437E3" w:rsidRDefault="003C737E" w:rsidP="000C2F34">
            <w:pPr>
              <w:jc w:val="both"/>
              <w:rPr>
                <w:rFonts w:cs="Arial"/>
                <w:szCs w:val="20"/>
              </w:rPr>
            </w:pPr>
          </w:p>
          <w:p w:rsidR="003C737E" w:rsidRPr="00F437E3" w:rsidRDefault="003C737E" w:rsidP="000C2F34">
            <w:pPr>
              <w:jc w:val="both"/>
              <w:rPr>
                <w:rFonts w:cs="Arial"/>
                <w:b/>
              </w:rPr>
            </w:pPr>
            <w:r w:rsidRPr="00F437E3">
              <w:rPr>
                <w:rFonts w:cs="Arial"/>
                <w:b/>
              </w:rPr>
              <w:t>K 4. členu</w:t>
            </w:r>
          </w:p>
          <w:p w:rsidR="003C737E" w:rsidRPr="00F437E3" w:rsidRDefault="003C737E" w:rsidP="000C2F34">
            <w:pPr>
              <w:autoSpaceDE w:val="0"/>
              <w:autoSpaceDN w:val="0"/>
              <w:adjustRightInd w:val="0"/>
              <w:jc w:val="both"/>
              <w:rPr>
                <w:rFonts w:cs="Arial"/>
                <w:szCs w:val="20"/>
              </w:rPr>
            </w:pPr>
            <w:r w:rsidRPr="00F437E3">
              <w:rPr>
                <w:rFonts w:cs="Arial"/>
                <w:szCs w:val="20"/>
              </w:rPr>
              <w:t>S tem členom se določa uveljavitev zakona.</w:t>
            </w:r>
          </w:p>
          <w:p w:rsidR="003C737E" w:rsidRPr="00F437E3" w:rsidRDefault="003C737E" w:rsidP="000C2F34">
            <w:pPr>
              <w:autoSpaceDE w:val="0"/>
              <w:autoSpaceDN w:val="0"/>
              <w:adjustRightInd w:val="0"/>
              <w:jc w:val="both"/>
              <w:rPr>
                <w:rFonts w:cs="Arial"/>
                <w:szCs w:val="20"/>
                <w:lang w:eastAsia="sl-SI"/>
              </w:rPr>
            </w:pPr>
          </w:p>
        </w:tc>
      </w:tr>
    </w:tbl>
    <w:p w:rsidR="00B024C9" w:rsidRDefault="00B024C9"/>
    <w:sectPr w:rsidR="00B02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7E"/>
    <w:rsid w:val="000441F4"/>
    <w:rsid w:val="00081469"/>
    <w:rsid w:val="00122E2D"/>
    <w:rsid w:val="00257EA2"/>
    <w:rsid w:val="002A1601"/>
    <w:rsid w:val="003C737E"/>
    <w:rsid w:val="00A54D8F"/>
    <w:rsid w:val="00B024C9"/>
    <w:rsid w:val="00CA1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737E"/>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737E"/>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Prenosnik</dc:creator>
  <cp:lastModifiedBy>Alja</cp:lastModifiedBy>
  <cp:revision>2</cp:revision>
  <cp:lastPrinted>2017-07-18T07:29:00Z</cp:lastPrinted>
  <dcterms:created xsi:type="dcterms:W3CDTF">2017-07-20T09:12:00Z</dcterms:created>
  <dcterms:modified xsi:type="dcterms:W3CDTF">2017-07-20T09:12:00Z</dcterms:modified>
</cp:coreProperties>
</file>