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55307" w14:textId="77777777" w:rsidR="002C3FD6" w:rsidRPr="006E1BA9" w:rsidRDefault="002C3FD6" w:rsidP="002C3FD6">
      <w:pPr>
        <w:overflowPunct w:val="0"/>
        <w:autoSpaceDE w:val="0"/>
        <w:autoSpaceDN w:val="0"/>
        <w:adjustRightInd w:val="0"/>
        <w:spacing w:before="480" w:line="276" w:lineRule="auto"/>
        <w:jc w:val="both"/>
        <w:textAlignment w:val="baseline"/>
        <w:rPr>
          <w:rFonts w:eastAsia="Calibri" w:cs="Arial"/>
          <w:szCs w:val="20"/>
        </w:rPr>
      </w:pPr>
      <w:r w:rsidRPr="006E1BA9">
        <w:rPr>
          <w:rFonts w:eastAsia="Calibri" w:cs="Arial"/>
          <w:szCs w:val="20"/>
        </w:rPr>
        <w:t>Na podlagi petega odstavka 17. člena in tretjega odstavka 18. člena Zakona o ugotavljanju vzajemnosti (Uradni list RS, št. 27/17) izdaja minister za pravosodje</w:t>
      </w:r>
    </w:p>
    <w:p w14:paraId="06BF0FB5" w14:textId="77777777" w:rsidR="002C3FD6" w:rsidRPr="006E1BA9" w:rsidRDefault="002C3FD6" w:rsidP="002C3FD6">
      <w:pPr>
        <w:suppressAutoHyphens/>
        <w:overflowPunct w:val="0"/>
        <w:autoSpaceDE w:val="0"/>
        <w:autoSpaceDN w:val="0"/>
        <w:adjustRightInd w:val="0"/>
        <w:spacing w:before="480" w:line="276" w:lineRule="auto"/>
        <w:jc w:val="center"/>
        <w:textAlignment w:val="baseline"/>
        <w:rPr>
          <w:rFonts w:eastAsia="Calibri" w:cs="Arial"/>
          <w:b/>
          <w:bCs/>
          <w:color w:val="000000"/>
          <w:spacing w:val="40"/>
          <w:szCs w:val="20"/>
          <w:lang w:eastAsia="sl-SI"/>
        </w:rPr>
      </w:pPr>
      <w:r w:rsidRPr="006E1BA9">
        <w:rPr>
          <w:rFonts w:eastAsia="Calibri" w:cs="Arial"/>
          <w:b/>
          <w:bCs/>
          <w:color w:val="000000"/>
          <w:spacing w:val="40"/>
          <w:szCs w:val="20"/>
          <w:lang w:eastAsia="sl-SI"/>
        </w:rPr>
        <w:t>PRAVILNIK</w:t>
      </w:r>
    </w:p>
    <w:p w14:paraId="6ACA5643" w14:textId="77777777" w:rsidR="002C3FD6" w:rsidRPr="006E1BA9" w:rsidRDefault="002C3FD6" w:rsidP="002C3FD6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Calibri" w:cs="Arial"/>
          <w:b/>
          <w:szCs w:val="20"/>
          <w:lang w:eastAsia="sl-SI"/>
        </w:rPr>
      </w:pPr>
      <w:r w:rsidRPr="006E1BA9">
        <w:rPr>
          <w:rFonts w:eastAsia="Calibri" w:cs="Arial"/>
          <w:b/>
          <w:szCs w:val="20"/>
          <w:lang w:eastAsia="sl-SI"/>
        </w:rPr>
        <w:t>o vzpostavitvi in vodenju evidence o obstoju vzajemnosti po posameznih državah in evidence o izdanih odločbah</w:t>
      </w:r>
    </w:p>
    <w:p w14:paraId="6F5C3B6D" w14:textId="77777777" w:rsidR="002C3FD6" w:rsidRPr="006E1BA9" w:rsidRDefault="002C3FD6" w:rsidP="002C3FD6">
      <w:pPr>
        <w:suppressAutoHyphens/>
        <w:overflowPunct w:val="0"/>
        <w:autoSpaceDE w:val="0"/>
        <w:autoSpaceDN w:val="0"/>
        <w:adjustRightInd w:val="0"/>
        <w:spacing w:before="480" w:line="276" w:lineRule="auto"/>
        <w:jc w:val="center"/>
        <w:rPr>
          <w:rFonts w:eastAsia="Calibri" w:cs="Arial"/>
          <w:b/>
          <w:szCs w:val="20"/>
        </w:rPr>
      </w:pPr>
      <w:r w:rsidRPr="006E1BA9">
        <w:rPr>
          <w:rFonts w:eastAsia="Calibri" w:cs="Arial"/>
          <w:b/>
          <w:szCs w:val="20"/>
        </w:rPr>
        <w:t>1. člen</w:t>
      </w:r>
    </w:p>
    <w:p w14:paraId="47B5B95C" w14:textId="77777777" w:rsidR="00AB16F9" w:rsidRPr="006E1BA9" w:rsidRDefault="00AB16F9" w:rsidP="00AB16F9">
      <w:pPr>
        <w:pStyle w:val="Brezrazmikov"/>
        <w:rPr>
          <w:rFonts w:eastAsia="Calibri"/>
        </w:rPr>
      </w:pPr>
    </w:p>
    <w:p w14:paraId="4060C4CD" w14:textId="6EFBAA00" w:rsidR="002C3FD6" w:rsidRPr="006E1BA9" w:rsidRDefault="002C3FD6" w:rsidP="00AB16F9">
      <w:pPr>
        <w:pStyle w:val="Brezrazmikov"/>
        <w:spacing w:line="276" w:lineRule="auto"/>
        <w:rPr>
          <w:rFonts w:eastAsia="Calibri"/>
        </w:rPr>
      </w:pPr>
      <w:r w:rsidRPr="006E1BA9">
        <w:rPr>
          <w:rFonts w:eastAsia="Calibri"/>
        </w:rPr>
        <w:t>Ministrstvo za pravosodje vzpostavi in vodi:</w:t>
      </w:r>
    </w:p>
    <w:p w14:paraId="5B6ABE38" w14:textId="77777777" w:rsidR="002C3FD6" w:rsidRPr="006E1BA9" w:rsidRDefault="002C3FD6" w:rsidP="00AB16F9">
      <w:pPr>
        <w:pStyle w:val="Brezrazmikov"/>
        <w:spacing w:line="276" w:lineRule="auto"/>
        <w:rPr>
          <w:rFonts w:eastAsia="Calibri"/>
        </w:rPr>
      </w:pPr>
      <w:r w:rsidRPr="006E1BA9">
        <w:rPr>
          <w:rFonts w:eastAsia="Calibri"/>
        </w:rPr>
        <w:t xml:space="preserve">– evidenco o obstoju vzajemnosti po posameznih državah glede pridobivanja lastninske pravice tujcev na nepremičninah v Republiki Sloveniji in </w:t>
      </w:r>
    </w:p>
    <w:p w14:paraId="29104AB4" w14:textId="77777777" w:rsidR="002C3FD6" w:rsidRPr="006E1BA9" w:rsidRDefault="002C3FD6" w:rsidP="00AB16F9">
      <w:pPr>
        <w:pStyle w:val="Brezrazmikov"/>
        <w:spacing w:line="276" w:lineRule="auto"/>
        <w:rPr>
          <w:rFonts w:eastAsia="Calibri"/>
        </w:rPr>
      </w:pPr>
      <w:r w:rsidRPr="006E1BA9">
        <w:rPr>
          <w:rFonts w:eastAsia="Calibri"/>
        </w:rPr>
        <w:t>– evidenco o izdanih odločbah o obstoju vzajemnosti.</w:t>
      </w:r>
    </w:p>
    <w:p w14:paraId="710EA57E" w14:textId="77777777" w:rsidR="002C3FD6" w:rsidRPr="006E1BA9" w:rsidRDefault="002C3FD6" w:rsidP="002C3FD6">
      <w:pPr>
        <w:suppressAutoHyphens/>
        <w:overflowPunct w:val="0"/>
        <w:autoSpaceDE w:val="0"/>
        <w:autoSpaceDN w:val="0"/>
        <w:adjustRightInd w:val="0"/>
        <w:spacing w:before="480" w:line="276" w:lineRule="auto"/>
        <w:jc w:val="center"/>
        <w:rPr>
          <w:rFonts w:eastAsia="Calibri" w:cs="Arial"/>
          <w:b/>
          <w:szCs w:val="20"/>
        </w:rPr>
      </w:pPr>
      <w:r w:rsidRPr="006E1BA9">
        <w:rPr>
          <w:rFonts w:eastAsia="Calibri" w:cs="Arial"/>
          <w:b/>
          <w:szCs w:val="20"/>
        </w:rPr>
        <w:t>2. člen</w:t>
      </w:r>
    </w:p>
    <w:p w14:paraId="59EFC543" w14:textId="77777777" w:rsidR="002C3FD6" w:rsidRPr="006E1BA9" w:rsidRDefault="002C3FD6" w:rsidP="002C3FD6">
      <w:pPr>
        <w:spacing w:line="276" w:lineRule="auto"/>
        <w:ind w:left="425" w:hanging="425"/>
        <w:jc w:val="both"/>
        <w:rPr>
          <w:rFonts w:eastAsia="Calibri" w:cs="Arial"/>
          <w:szCs w:val="20"/>
          <w:lang w:eastAsia="sl-SI"/>
        </w:rPr>
      </w:pPr>
    </w:p>
    <w:p w14:paraId="5E6F8A28" w14:textId="77777777" w:rsidR="002C3FD6" w:rsidRPr="006E1BA9" w:rsidRDefault="002C3FD6" w:rsidP="002C3FD6">
      <w:pPr>
        <w:spacing w:line="276" w:lineRule="auto"/>
        <w:ind w:firstLine="1"/>
        <w:jc w:val="both"/>
        <w:rPr>
          <w:rFonts w:eastAsia="Calibri" w:cs="Arial"/>
          <w:szCs w:val="20"/>
          <w:lang w:eastAsia="sl-SI"/>
        </w:rPr>
      </w:pPr>
      <w:r w:rsidRPr="006E1BA9">
        <w:rPr>
          <w:rFonts w:eastAsia="Calibri" w:cs="Arial"/>
          <w:szCs w:val="20"/>
          <w:lang w:eastAsia="sl-SI"/>
        </w:rPr>
        <w:t>(1) Podatek o vrsti nepremičnine po tem pravilniku je podatek o tem, ali gre za:</w:t>
      </w:r>
    </w:p>
    <w:p w14:paraId="7814132B" w14:textId="77777777" w:rsidR="002C3FD6" w:rsidRPr="006E1BA9" w:rsidRDefault="002C3FD6" w:rsidP="002C3FD6">
      <w:pPr>
        <w:spacing w:line="276" w:lineRule="auto"/>
        <w:ind w:firstLine="1"/>
        <w:jc w:val="both"/>
        <w:rPr>
          <w:rFonts w:eastAsia="Calibri" w:cs="Arial"/>
          <w:szCs w:val="20"/>
          <w:lang w:eastAsia="sl-SI"/>
        </w:rPr>
      </w:pPr>
      <w:r w:rsidRPr="006E1BA9">
        <w:rPr>
          <w:rFonts w:eastAsia="Calibri" w:cs="Arial"/>
          <w:szCs w:val="20"/>
          <w:lang w:eastAsia="sl-SI"/>
        </w:rPr>
        <w:t xml:space="preserve">– zemljiško parcelo, </w:t>
      </w:r>
    </w:p>
    <w:p w14:paraId="35305561" w14:textId="77777777" w:rsidR="002C3FD6" w:rsidRPr="006E1BA9" w:rsidRDefault="002C3FD6" w:rsidP="002C3FD6">
      <w:pPr>
        <w:spacing w:line="276" w:lineRule="auto"/>
        <w:ind w:firstLine="1"/>
        <w:jc w:val="both"/>
        <w:rPr>
          <w:rFonts w:eastAsia="Calibri" w:cs="Arial"/>
          <w:szCs w:val="20"/>
          <w:lang w:eastAsia="sl-SI"/>
        </w:rPr>
      </w:pPr>
      <w:r w:rsidRPr="006E1BA9">
        <w:rPr>
          <w:rFonts w:eastAsia="Calibri" w:cs="Arial"/>
          <w:szCs w:val="20"/>
          <w:lang w:eastAsia="sl-SI"/>
        </w:rPr>
        <w:t xml:space="preserve">– stavbo, zgrajeno na podlagi stavbne pravice, </w:t>
      </w:r>
    </w:p>
    <w:p w14:paraId="4F94881E" w14:textId="2817DCFE" w:rsidR="002F2858" w:rsidRPr="006E1BA9" w:rsidRDefault="002C3FD6" w:rsidP="002C3FD6">
      <w:pPr>
        <w:spacing w:line="276" w:lineRule="auto"/>
        <w:ind w:firstLine="1"/>
        <w:jc w:val="both"/>
        <w:rPr>
          <w:rFonts w:eastAsia="Calibri" w:cs="Arial"/>
          <w:szCs w:val="20"/>
          <w:lang w:eastAsia="sl-SI"/>
        </w:rPr>
      </w:pPr>
      <w:r w:rsidRPr="006E1BA9">
        <w:rPr>
          <w:rFonts w:eastAsia="Calibri" w:cs="Arial"/>
          <w:szCs w:val="20"/>
          <w:lang w:eastAsia="sl-SI"/>
        </w:rPr>
        <w:t>– posamezni del stavbe</w:t>
      </w:r>
      <w:r w:rsidR="002F2858" w:rsidRPr="006E1BA9">
        <w:rPr>
          <w:rFonts w:eastAsia="Calibri" w:cs="Arial"/>
          <w:szCs w:val="20"/>
          <w:lang w:eastAsia="sl-SI"/>
        </w:rPr>
        <w:t xml:space="preserve"> v etažni lastnini</w:t>
      </w:r>
      <w:r w:rsidR="002A278F" w:rsidRPr="006E1BA9">
        <w:rPr>
          <w:rFonts w:eastAsia="Calibri" w:cs="Arial"/>
          <w:szCs w:val="20"/>
          <w:lang w:eastAsia="sl-SI"/>
        </w:rPr>
        <w:t>.</w:t>
      </w:r>
    </w:p>
    <w:p w14:paraId="15FCD04A" w14:textId="3685BF69" w:rsidR="002C3FD6" w:rsidRPr="006E1BA9" w:rsidRDefault="002C3FD6" w:rsidP="002A278F">
      <w:pPr>
        <w:spacing w:line="276" w:lineRule="auto"/>
        <w:jc w:val="both"/>
        <w:rPr>
          <w:rFonts w:eastAsia="Calibri" w:cs="Arial"/>
          <w:szCs w:val="20"/>
          <w:lang w:eastAsia="sl-SI"/>
        </w:rPr>
      </w:pPr>
    </w:p>
    <w:p w14:paraId="1ECF5531" w14:textId="77777777" w:rsidR="002C3FD6" w:rsidRPr="006E1BA9" w:rsidRDefault="002C3FD6" w:rsidP="002C3FD6">
      <w:pPr>
        <w:spacing w:line="276" w:lineRule="auto"/>
        <w:ind w:firstLine="1"/>
        <w:jc w:val="both"/>
        <w:rPr>
          <w:rFonts w:eastAsia="Calibri" w:cs="Arial"/>
          <w:szCs w:val="20"/>
          <w:lang w:eastAsia="sl-SI"/>
        </w:rPr>
      </w:pPr>
      <w:r w:rsidRPr="006E1BA9">
        <w:rPr>
          <w:rFonts w:eastAsia="Calibri" w:cs="Arial"/>
          <w:szCs w:val="20"/>
          <w:lang w:eastAsia="sl-SI"/>
        </w:rPr>
        <w:t>(2) Podatek o vrsti območja, na katerem leži nepremičnina, zajema podatek o območju zemljišč in podatek o območju varstvenih režimov.</w:t>
      </w:r>
    </w:p>
    <w:p w14:paraId="1303F605" w14:textId="77777777" w:rsidR="002C3FD6" w:rsidRPr="006E1BA9" w:rsidRDefault="002C3FD6" w:rsidP="002C3FD6">
      <w:pPr>
        <w:spacing w:line="276" w:lineRule="auto"/>
        <w:ind w:firstLine="1"/>
        <w:jc w:val="both"/>
        <w:rPr>
          <w:rFonts w:eastAsia="Calibri" w:cs="Arial"/>
          <w:szCs w:val="20"/>
          <w:lang w:eastAsia="sl-SI"/>
        </w:rPr>
      </w:pPr>
    </w:p>
    <w:p w14:paraId="1A01E0A8" w14:textId="77777777" w:rsidR="002C3FD6" w:rsidRPr="006E1BA9" w:rsidRDefault="002C3FD6" w:rsidP="002C3FD6">
      <w:pPr>
        <w:spacing w:line="276" w:lineRule="auto"/>
        <w:ind w:firstLine="1"/>
        <w:jc w:val="both"/>
        <w:rPr>
          <w:rFonts w:eastAsia="Calibri" w:cs="Arial"/>
          <w:szCs w:val="20"/>
          <w:lang w:eastAsia="sl-SI"/>
        </w:rPr>
      </w:pPr>
      <w:r w:rsidRPr="006E1BA9">
        <w:rPr>
          <w:rFonts w:eastAsia="Calibri" w:cs="Arial"/>
          <w:szCs w:val="20"/>
          <w:lang w:eastAsia="sl-SI"/>
        </w:rPr>
        <w:t>(3) Podatek o območju zemljišč je podatek o tem, ali nepremičnina leži na:</w:t>
      </w:r>
    </w:p>
    <w:p w14:paraId="55144168" w14:textId="77777777" w:rsidR="002C3FD6" w:rsidRPr="006E1BA9" w:rsidRDefault="002C3FD6" w:rsidP="002C3FD6">
      <w:pPr>
        <w:shd w:val="clear" w:color="auto" w:fill="FFFFFF"/>
        <w:spacing w:line="276" w:lineRule="auto"/>
        <w:ind w:left="425" w:hanging="425"/>
        <w:jc w:val="both"/>
        <w:rPr>
          <w:rFonts w:cs="Arial"/>
          <w:szCs w:val="20"/>
          <w:lang w:eastAsia="sl-SI"/>
        </w:rPr>
      </w:pPr>
      <w:r w:rsidRPr="006E1BA9">
        <w:rPr>
          <w:rFonts w:cs="Arial"/>
          <w:szCs w:val="20"/>
          <w:lang w:eastAsia="sl-SI"/>
        </w:rPr>
        <w:t>– območju kmetijskih zemljišč,</w:t>
      </w:r>
    </w:p>
    <w:p w14:paraId="051E0B5A" w14:textId="77777777" w:rsidR="002C3FD6" w:rsidRPr="006E1BA9" w:rsidRDefault="002C3FD6" w:rsidP="002C3FD6">
      <w:pPr>
        <w:shd w:val="clear" w:color="auto" w:fill="FFFFFF"/>
        <w:spacing w:line="276" w:lineRule="auto"/>
        <w:ind w:left="425" w:hanging="425"/>
        <w:jc w:val="both"/>
        <w:rPr>
          <w:rFonts w:cs="Arial"/>
          <w:szCs w:val="20"/>
          <w:lang w:eastAsia="sl-SI"/>
        </w:rPr>
      </w:pPr>
      <w:r w:rsidRPr="006E1BA9">
        <w:rPr>
          <w:rFonts w:cs="Arial"/>
          <w:szCs w:val="20"/>
          <w:lang w:eastAsia="sl-SI"/>
        </w:rPr>
        <w:t>– območju gozdnih zemljišč,</w:t>
      </w:r>
    </w:p>
    <w:p w14:paraId="6CA623A1" w14:textId="77777777" w:rsidR="002C3FD6" w:rsidRPr="006E1BA9" w:rsidRDefault="002C3FD6" w:rsidP="002C3FD6">
      <w:pPr>
        <w:shd w:val="clear" w:color="auto" w:fill="FFFFFF"/>
        <w:spacing w:line="276" w:lineRule="auto"/>
        <w:ind w:left="425" w:hanging="425"/>
        <w:jc w:val="both"/>
        <w:rPr>
          <w:rFonts w:cs="Arial"/>
          <w:szCs w:val="20"/>
          <w:lang w:eastAsia="sl-SI"/>
        </w:rPr>
      </w:pPr>
      <w:r w:rsidRPr="006E1BA9">
        <w:rPr>
          <w:rFonts w:cs="Arial"/>
          <w:szCs w:val="20"/>
          <w:lang w:eastAsia="sl-SI"/>
        </w:rPr>
        <w:t>– območju vodnih zemljišč,</w:t>
      </w:r>
    </w:p>
    <w:p w14:paraId="3CB1D093" w14:textId="77777777" w:rsidR="002C3FD6" w:rsidRPr="006E1BA9" w:rsidRDefault="002C3FD6" w:rsidP="002C3FD6">
      <w:pPr>
        <w:shd w:val="clear" w:color="auto" w:fill="FFFFFF"/>
        <w:spacing w:line="276" w:lineRule="auto"/>
        <w:ind w:left="425" w:hanging="425"/>
        <w:jc w:val="both"/>
        <w:rPr>
          <w:rFonts w:cs="Arial"/>
          <w:szCs w:val="20"/>
          <w:lang w:eastAsia="sl-SI"/>
        </w:rPr>
      </w:pPr>
      <w:r w:rsidRPr="006E1BA9">
        <w:rPr>
          <w:rFonts w:cs="Arial"/>
          <w:szCs w:val="20"/>
          <w:lang w:eastAsia="sl-SI"/>
        </w:rPr>
        <w:t>– območju stavbnih zemljišč,</w:t>
      </w:r>
    </w:p>
    <w:p w14:paraId="0C9B5F43" w14:textId="041C658D" w:rsidR="002C3FD6" w:rsidRPr="006E1BA9" w:rsidRDefault="002C3FD6" w:rsidP="002C3FD6">
      <w:pPr>
        <w:shd w:val="clear" w:color="auto" w:fill="FFFFFF"/>
        <w:spacing w:line="276" w:lineRule="auto"/>
        <w:ind w:left="425" w:hanging="425"/>
        <w:jc w:val="both"/>
        <w:rPr>
          <w:rFonts w:cs="Arial"/>
          <w:szCs w:val="20"/>
          <w:lang w:eastAsia="sl-SI"/>
        </w:rPr>
      </w:pPr>
      <w:r w:rsidRPr="006E1BA9">
        <w:rPr>
          <w:rFonts w:cs="Arial"/>
          <w:szCs w:val="20"/>
          <w:lang w:eastAsia="sl-SI"/>
        </w:rPr>
        <w:t xml:space="preserve">– območju </w:t>
      </w:r>
      <w:r w:rsidR="00C8294F" w:rsidRPr="006E1BA9">
        <w:rPr>
          <w:rFonts w:cs="Arial"/>
          <w:szCs w:val="20"/>
          <w:lang w:eastAsia="sl-SI"/>
        </w:rPr>
        <w:t xml:space="preserve">drugih </w:t>
      </w:r>
      <w:r w:rsidRPr="006E1BA9">
        <w:rPr>
          <w:rFonts w:cs="Arial"/>
          <w:szCs w:val="20"/>
          <w:lang w:eastAsia="sl-SI"/>
        </w:rPr>
        <w:t xml:space="preserve">zemljišč. </w:t>
      </w:r>
    </w:p>
    <w:p w14:paraId="3FA2483C" w14:textId="77777777" w:rsidR="002C3FD6" w:rsidRPr="006E1BA9" w:rsidRDefault="002C3FD6" w:rsidP="002C3FD6">
      <w:pPr>
        <w:spacing w:line="276" w:lineRule="auto"/>
        <w:ind w:firstLine="1"/>
        <w:jc w:val="both"/>
        <w:rPr>
          <w:rFonts w:eastAsia="Calibri" w:cs="Arial"/>
          <w:szCs w:val="20"/>
          <w:lang w:eastAsia="sl-SI"/>
        </w:rPr>
      </w:pPr>
    </w:p>
    <w:p w14:paraId="1AE593C5" w14:textId="7796FEA8" w:rsidR="002851BA" w:rsidRPr="006E1BA9" w:rsidRDefault="002C3FD6" w:rsidP="000472E6">
      <w:pPr>
        <w:shd w:val="clear" w:color="auto" w:fill="FFFFFF"/>
        <w:spacing w:line="276" w:lineRule="auto"/>
        <w:jc w:val="both"/>
        <w:rPr>
          <w:rFonts w:cs="Arial"/>
          <w:szCs w:val="20"/>
          <w:lang w:eastAsia="sl-SI"/>
        </w:rPr>
      </w:pPr>
      <w:r w:rsidRPr="006E1BA9">
        <w:rPr>
          <w:rFonts w:eastAsia="Calibri" w:cs="Arial"/>
          <w:szCs w:val="20"/>
          <w:lang w:eastAsia="sl-SI"/>
        </w:rPr>
        <w:t xml:space="preserve">(4) Podatek o območju varstvenih režimov je podatek o tem, </w:t>
      </w:r>
      <w:r w:rsidR="002851BA" w:rsidRPr="006E1BA9">
        <w:rPr>
          <w:rFonts w:eastAsia="Calibri" w:cs="Arial"/>
          <w:szCs w:val="20"/>
          <w:lang w:eastAsia="sl-SI"/>
        </w:rPr>
        <w:t xml:space="preserve">ali </w:t>
      </w:r>
      <w:r w:rsidR="002851BA" w:rsidRPr="006E1BA9">
        <w:rPr>
          <w:rFonts w:cs="Arial"/>
          <w:szCs w:val="20"/>
          <w:lang w:eastAsia="sl-SI"/>
        </w:rPr>
        <w:t>nepremičnina</w:t>
      </w:r>
      <w:r w:rsidR="002851BA" w:rsidRPr="006E1BA9">
        <w:rPr>
          <w:rFonts w:eastAsia="Calibri" w:cs="Arial"/>
          <w:szCs w:val="20"/>
          <w:lang w:eastAsia="sl-SI"/>
        </w:rPr>
        <w:t xml:space="preserve"> </w:t>
      </w:r>
      <w:r w:rsidR="002851BA" w:rsidRPr="006E1BA9">
        <w:rPr>
          <w:rFonts w:cs="Arial"/>
          <w:szCs w:val="20"/>
          <w:lang w:eastAsia="sl-SI"/>
        </w:rPr>
        <w:t xml:space="preserve">leži </w:t>
      </w:r>
      <w:r w:rsidRPr="006E1BA9">
        <w:rPr>
          <w:rFonts w:eastAsia="Calibri" w:cs="Arial"/>
          <w:szCs w:val="20"/>
          <w:lang w:eastAsia="sl-SI"/>
        </w:rPr>
        <w:t>na</w:t>
      </w:r>
      <w:r w:rsidR="00C8294F" w:rsidRPr="006E1BA9">
        <w:rPr>
          <w:rFonts w:cs="Arial"/>
          <w:szCs w:val="20"/>
          <w:lang w:eastAsia="sl-SI"/>
        </w:rPr>
        <w:t xml:space="preserve"> območju, ki je s posebnim aktom ali predpisom o zavarovanju opredeljeno kot varovano območje, </w:t>
      </w:r>
      <w:r w:rsidR="002851BA" w:rsidRPr="006E1BA9">
        <w:rPr>
          <w:rFonts w:cs="Arial"/>
          <w:szCs w:val="20"/>
          <w:lang w:eastAsia="sl-SI"/>
        </w:rPr>
        <w:t>predvsem, ali leži na:</w:t>
      </w:r>
    </w:p>
    <w:p w14:paraId="2C3DB126" w14:textId="09FF1C19" w:rsidR="002C3FD6" w:rsidRPr="006E1BA9" w:rsidRDefault="002C3FD6" w:rsidP="000472E6">
      <w:pPr>
        <w:shd w:val="clear" w:color="auto" w:fill="FFFFFF"/>
        <w:spacing w:line="276" w:lineRule="auto"/>
        <w:jc w:val="both"/>
        <w:rPr>
          <w:rFonts w:cs="Arial"/>
          <w:szCs w:val="20"/>
          <w:lang w:eastAsia="sl-SI"/>
        </w:rPr>
      </w:pPr>
      <w:r w:rsidRPr="006E1BA9">
        <w:rPr>
          <w:rFonts w:cs="Arial"/>
          <w:szCs w:val="20"/>
          <w:lang w:eastAsia="sl-SI"/>
        </w:rPr>
        <w:t>– območju naravnih znamenitosti in območju varstva naravne dediščine,</w:t>
      </w:r>
    </w:p>
    <w:p w14:paraId="55C1CBC1" w14:textId="77777777" w:rsidR="002C3FD6" w:rsidRPr="006E1BA9" w:rsidRDefault="002C3FD6" w:rsidP="000472E6">
      <w:pPr>
        <w:shd w:val="clear" w:color="auto" w:fill="FFFFFF"/>
        <w:spacing w:line="276" w:lineRule="auto"/>
        <w:jc w:val="both"/>
        <w:rPr>
          <w:rFonts w:cs="Arial"/>
          <w:szCs w:val="20"/>
          <w:lang w:eastAsia="sl-SI"/>
        </w:rPr>
      </w:pPr>
      <w:r w:rsidRPr="006E1BA9">
        <w:rPr>
          <w:rFonts w:cs="Arial"/>
          <w:szCs w:val="20"/>
          <w:lang w:eastAsia="sl-SI"/>
        </w:rPr>
        <w:t>– območju kulturnih spomenikov in območju varstva kulturne dediščine,</w:t>
      </w:r>
    </w:p>
    <w:p w14:paraId="06B299DC" w14:textId="77777777" w:rsidR="002C3FD6" w:rsidRPr="006E1BA9" w:rsidRDefault="002C3FD6" w:rsidP="000472E6">
      <w:pPr>
        <w:shd w:val="clear" w:color="auto" w:fill="FFFFFF"/>
        <w:spacing w:line="276" w:lineRule="auto"/>
        <w:jc w:val="both"/>
        <w:rPr>
          <w:rFonts w:cs="Arial"/>
          <w:szCs w:val="20"/>
          <w:lang w:eastAsia="sl-SI"/>
        </w:rPr>
      </w:pPr>
      <w:r w:rsidRPr="006E1BA9">
        <w:rPr>
          <w:rFonts w:cs="Arial"/>
          <w:szCs w:val="20"/>
          <w:lang w:eastAsia="sl-SI"/>
        </w:rPr>
        <w:t>– območju varstva vodnih virov,</w:t>
      </w:r>
    </w:p>
    <w:p w14:paraId="638F25CA" w14:textId="186DD757" w:rsidR="002C3FD6" w:rsidRPr="006E1BA9" w:rsidRDefault="002C3FD6" w:rsidP="000472E6">
      <w:pPr>
        <w:spacing w:line="276" w:lineRule="auto"/>
        <w:ind w:firstLine="1"/>
        <w:jc w:val="both"/>
        <w:rPr>
          <w:rFonts w:cs="Arial"/>
          <w:szCs w:val="20"/>
          <w:lang w:eastAsia="sl-SI"/>
        </w:rPr>
      </w:pPr>
      <w:r w:rsidRPr="006E1BA9">
        <w:rPr>
          <w:rFonts w:cs="Arial"/>
          <w:szCs w:val="20"/>
          <w:lang w:eastAsia="sl-SI"/>
        </w:rPr>
        <w:t>– območju, namenjenem za izgradnjo objektov</w:t>
      </w:r>
      <w:r w:rsidR="00777E22" w:rsidRPr="006E1BA9">
        <w:rPr>
          <w:rFonts w:cs="Arial"/>
          <w:szCs w:val="20"/>
          <w:lang w:eastAsia="sl-SI"/>
        </w:rPr>
        <w:t xml:space="preserve"> gospodarske</w:t>
      </w:r>
      <w:r w:rsidRPr="006E1BA9">
        <w:rPr>
          <w:rFonts w:cs="Arial"/>
          <w:szCs w:val="20"/>
          <w:lang w:eastAsia="sl-SI"/>
        </w:rPr>
        <w:t xml:space="preserve"> javne infrastrukture.</w:t>
      </w:r>
    </w:p>
    <w:p w14:paraId="45A84BEA" w14:textId="64753A7B" w:rsidR="00BE521E" w:rsidRPr="006E1BA9" w:rsidRDefault="00BE521E" w:rsidP="000472E6">
      <w:pPr>
        <w:spacing w:line="276" w:lineRule="auto"/>
        <w:ind w:firstLine="1"/>
        <w:jc w:val="both"/>
        <w:rPr>
          <w:rFonts w:cs="Arial"/>
          <w:szCs w:val="20"/>
          <w:lang w:eastAsia="sl-SI"/>
        </w:rPr>
      </w:pPr>
    </w:p>
    <w:p w14:paraId="00515ECC" w14:textId="221950C2" w:rsidR="00BE521E" w:rsidRPr="006E1BA9" w:rsidRDefault="00BE521E" w:rsidP="000472E6">
      <w:pPr>
        <w:spacing w:line="276" w:lineRule="auto"/>
        <w:ind w:firstLine="1"/>
        <w:jc w:val="both"/>
        <w:rPr>
          <w:rFonts w:cs="Arial"/>
          <w:szCs w:val="20"/>
          <w:lang w:eastAsia="sl-SI"/>
        </w:rPr>
      </w:pPr>
      <w:r w:rsidRPr="006E1BA9">
        <w:rPr>
          <w:rFonts w:cs="Arial"/>
          <w:szCs w:val="20"/>
          <w:lang w:eastAsia="sl-SI"/>
        </w:rPr>
        <w:t>(5) Podatek o načinu pridobitve je podatek, ali gre za pridobitev lastninske pravice na podlagi:</w:t>
      </w:r>
    </w:p>
    <w:p w14:paraId="06CE90DF" w14:textId="0906F208" w:rsidR="00BE521E" w:rsidRPr="006E1BA9" w:rsidRDefault="00BE521E" w:rsidP="000472E6">
      <w:pPr>
        <w:spacing w:line="276" w:lineRule="auto"/>
        <w:ind w:firstLine="1"/>
        <w:jc w:val="both"/>
        <w:rPr>
          <w:rFonts w:cs="Arial"/>
          <w:szCs w:val="20"/>
          <w:lang w:eastAsia="sl-SI"/>
        </w:rPr>
      </w:pPr>
      <w:r w:rsidRPr="006E1BA9">
        <w:rPr>
          <w:rFonts w:cs="Arial"/>
          <w:szCs w:val="20"/>
          <w:lang w:eastAsia="sl-SI"/>
        </w:rPr>
        <w:t>– pravnega posla,</w:t>
      </w:r>
    </w:p>
    <w:p w14:paraId="719290FB" w14:textId="6A7FD7DF" w:rsidR="00BE521E" w:rsidRPr="006E1BA9" w:rsidRDefault="00BE521E" w:rsidP="000472E6">
      <w:pPr>
        <w:spacing w:line="276" w:lineRule="auto"/>
        <w:ind w:firstLine="1"/>
        <w:jc w:val="both"/>
        <w:rPr>
          <w:rFonts w:cs="Arial"/>
          <w:szCs w:val="20"/>
          <w:lang w:eastAsia="sl-SI"/>
        </w:rPr>
      </w:pPr>
      <w:r w:rsidRPr="006E1BA9">
        <w:rPr>
          <w:rFonts w:cs="Arial"/>
          <w:szCs w:val="20"/>
          <w:lang w:eastAsia="sl-SI"/>
        </w:rPr>
        <w:t>– dedovanja,</w:t>
      </w:r>
    </w:p>
    <w:p w14:paraId="7449C7CC" w14:textId="390E346C" w:rsidR="00BE521E" w:rsidRPr="006E1BA9" w:rsidRDefault="00BE521E" w:rsidP="000472E6">
      <w:pPr>
        <w:spacing w:line="276" w:lineRule="auto"/>
        <w:ind w:firstLine="1"/>
        <w:jc w:val="both"/>
        <w:rPr>
          <w:rFonts w:cs="Arial"/>
          <w:szCs w:val="20"/>
          <w:lang w:eastAsia="sl-SI"/>
        </w:rPr>
      </w:pPr>
      <w:r w:rsidRPr="006E1BA9">
        <w:rPr>
          <w:rFonts w:cs="Arial"/>
          <w:szCs w:val="20"/>
          <w:lang w:eastAsia="sl-SI"/>
        </w:rPr>
        <w:t xml:space="preserve">– zakona, </w:t>
      </w:r>
    </w:p>
    <w:p w14:paraId="680E31CA" w14:textId="56ACAA4D" w:rsidR="00BE521E" w:rsidRPr="006E1BA9" w:rsidRDefault="00BE521E" w:rsidP="008E149B">
      <w:pPr>
        <w:spacing w:line="276" w:lineRule="auto"/>
        <w:ind w:firstLine="1"/>
        <w:jc w:val="both"/>
        <w:rPr>
          <w:rFonts w:cs="Arial"/>
          <w:szCs w:val="20"/>
          <w:lang w:eastAsia="sl-SI"/>
        </w:rPr>
      </w:pPr>
      <w:r w:rsidRPr="006E1BA9">
        <w:rPr>
          <w:rFonts w:cs="Arial"/>
          <w:szCs w:val="20"/>
          <w:lang w:eastAsia="sl-SI"/>
        </w:rPr>
        <w:t>– odločbe državnega organa.</w:t>
      </w:r>
    </w:p>
    <w:p w14:paraId="17DADF68" w14:textId="77777777" w:rsidR="002E5FC6" w:rsidRPr="006E1BA9" w:rsidRDefault="002E5FC6">
      <w:pPr>
        <w:spacing w:after="160" w:line="259" w:lineRule="auto"/>
        <w:rPr>
          <w:rFonts w:eastAsia="Calibri" w:cs="Arial"/>
          <w:b/>
          <w:szCs w:val="20"/>
        </w:rPr>
      </w:pPr>
      <w:r w:rsidRPr="006E1BA9">
        <w:rPr>
          <w:rFonts w:eastAsia="Calibri" w:cs="Arial"/>
          <w:b/>
          <w:szCs w:val="20"/>
        </w:rPr>
        <w:br w:type="page"/>
      </w:r>
    </w:p>
    <w:p w14:paraId="05A9AF2C" w14:textId="1BBC0A11" w:rsidR="002C3FD6" w:rsidRPr="006E1BA9" w:rsidRDefault="002C3FD6" w:rsidP="002C3FD6">
      <w:pPr>
        <w:suppressAutoHyphens/>
        <w:overflowPunct w:val="0"/>
        <w:autoSpaceDE w:val="0"/>
        <w:autoSpaceDN w:val="0"/>
        <w:adjustRightInd w:val="0"/>
        <w:spacing w:before="480" w:line="276" w:lineRule="auto"/>
        <w:jc w:val="center"/>
        <w:rPr>
          <w:rFonts w:eastAsia="Calibri" w:cs="Arial"/>
          <w:b/>
          <w:szCs w:val="20"/>
        </w:rPr>
      </w:pPr>
      <w:r w:rsidRPr="006E1BA9">
        <w:rPr>
          <w:rFonts w:eastAsia="Calibri" w:cs="Arial"/>
          <w:b/>
          <w:szCs w:val="20"/>
        </w:rPr>
        <w:lastRenderedPageBreak/>
        <w:t>3. člen</w:t>
      </w:r>
    </w:p>
    <w:p w14:paraId="59B1D6F7" w14:textId="77777777" w:rsidR="002C3FD6" w:rsidRPr="006E1BA9" w:rsidRDefault="002C3FD6" w:rsidP="002C3FD6">
      <w:pPr>
        <w:spacing w:line="276" w:lineRule="auto"/>
        <w:ind w:firstLine="1"/>
        <w:jc w:val="both"/>
        <w:rPr>
          <w:rFonts w:eastAsia="Calibri" w:cs="Arial"/>
          <w:szCs w:val="20"/>
          <w:lang w:eastAsia="sl-SI"/>
        </w:rPr>
      </w:pPr>
    </w:p>
    <w:p w14:paraId="1690B379" w14:textId="77777777" w:rsidR="002C3FD6" w:rsidRPr="006E1BA9" w:rsidRDefault="002C3FD6" w:rsidP="002C3FD6">
      <w:pPr>
        <w:spacing w:line="276" w:lineRule="auto"/>
        <w:ind w:firstLine="1"/>
        <w:jc w:val="both"/>
        <w:rPr>
          <w:rFonts w:eastAsia="Calibri" w:cs="Arial"/>
          <w:szCs w:val="20"/>
          <w:lang w:eastAsia="sl-SI"/>
        </w:rPr>
      </w:pPr>
    </w:p>
    <w:p w14:paraId="4841F875" w14:textId="77777777" w:rsidR="002C3FD6" w:rsidRPr="006E1BA9" w:rsidRDefault="002C3FD6" w:rsidP="002C3FD6">
      <w:pPr>
        <w:spacing w:line="276" w:lineRule="auto"/>
        <w:ind w:firstLine="1"/>
        <w:jc w:val="both"/>
        <w:rPr>
          <w:rFonts w:eastAsia="Calibri" w:cs="Arial"/>
          <w:szCs w:val="20"/>
          <w:lang w:eastAsia="sl-SI"/>
        </w:rPr>
      </w:pPr>
      <w:r w:rsidRPr="006E1BA9">
        <w:rPr>
          <w:rFonts w:eastAsia="Calibri" w:cs="Arial"/>
          <w:szCs w:val="20"/>
          <w:lang w:eastAsia="sl-SI"/>
        </w:rPr>
        <w:t>(1) Evidenca o obstoju vzajemnosti po posameznih državah glede pridobivanja lastninske pravice tujcev na nepremičninah v Republiki Sloveniji za vsako državo vsebuje naslednje podatke:</w:t>
      </w:r>
    </w:p>
    <w:p w14:paraId="25E56FA1" w14:textId="77777777" w:rsidR="002C3FD6" w:rsidRPr="006E1BA9" w:rsidRDefault="002C3FD6" w:rsidP="00E9030B">
      <w:pPr>
        <w:spacing w:line="276" w:lineRule="auto"/>
        <w:jc w:val="both"/>
        <w:rPr>
          <w:rFonts w:eastAsia="Calibri" w:cs="Arial"/>
          <w:szCs w:val="20"/>
          <w:lang w:eastAsia="sl-SI"/>
        </w:rPr>
      </w:pPr>
      <w:r w:rsidRPr="006E1BA9">
        <w:rPr>
          <w:rFonts w:eastAsia="Calibri" w:cs="Arial"/>
          <w:szCs w:val="20"/>
          <w:lang w:eastAsia="sl-SI"/>
        </w:rPr>
        <w:t>– posamezne vrste nepremičnin in vrste območij, za katere vzajemnost obstaja, z navedbo pravnega reda, ki ureja pridobitev lastninske pravice na posamezni vrsti nepremičnine in območju nepremičnine,</w:t>
      </w:r>
    </w:p>
    <w:p w14:paraId="6DF84622" w14:textId="77777777" w:rsidR="002C3FD6" w:rsidRPr="006E1BA9" w:rsidRDefault="002C3FD6" w:rsidP="00E9030B">
      <w:pPr>
        <w:spacing w:line="276" w:lineRule="auto"/>
        <w:jc w:val="both"/>
        <w:rPr>
          <w:rFonts w:eastAsia="Calibri" w:cs="Arial"/>
          <w:szCs w:val="20"/>
          <w:lang w:eastAsia="sl-SI"/>
        </w:rPr>
      </w:pPr>
      <w:r w:rsidRPr="006E1BA9">
        <w:rPr>
          <w:rFonts w:eastAsia="Calibri" w:cs="Arial"/>
          <w:szCs w:val="20"/>
          <w:lang w:eastAsia="sl-SI"/>
        </w:rPr>
        <w:t>– posamezne vrste nepremičnin in vrste območij, za katere vzajemnost ne obstaja, z navedbo pravnega reda, ki ureja pridobitev lastninske pravice na posamezni vrsti nepremičnine in območju nepremičnine,</w:t>
      </w:r>
    </w:p>
    <w:p w14:paraId="68A76D9A" w14:textId="48EAF0F5" w:rsidR="002C3FD6" w:rsidRPr="006E1BA9" w:rsidRDefault="002C3FD6" w:rsidP="00E9030B">
      <w:pPr>
        <w:spacing w:line="276" w:lineRule="auto"/>
        <w:jc w:val="both"/>
        <w:rPr>
          <w:rFonts w:eastAsia="Calibri" w:cs="Arial"/>
          <w:szCs w:val="20"/>
          <w:lang w:eastAsia="sl-SI"/>
        </w:rPr>
      </w:pPr>
      <w:r w:rsidRPr="006E1BA9">
        <w:rPr>
          <w:rFonts w:eastAsia="Calibri" w:cs="Arial"/>
          <w:szCs w:val="20"/>
          <w:lang w:eastAsia="sl-SI"/>
        </w:rPr>
        <w:t>–</w:t>
      </w:r>
      <w:r w:rsidR="00C9183D" w:rsidRPr="006E1BA9">
        <w:rPr>
          <w:rFonts w:eastAsia="Calibri" w:cs="Arial"/>
          <w:szCs w:val="20"/>
          <w:lang w:eastAsia="sl-SI"/>
        </w:rPr>
        <w:t xml:space="preserve"> </w:t>
      </w:r>
      <w:r w:rsidRPr="006E1BA9">
        <w:rPr>
          <w:rFonts w:eastAsia="Calibri" w:cs="Arial"/>
          <w:szCs w:val="20"/>
          <w:lang w:eastAsia="sl-SI"/>
        </w:rPr>
        <w:t>način</w:t>
      </w:r>
      <w:r w:rsidR="008E149B" w:rsidRPr="006E1BA9">
        <w:rPr>
          <w:rFonts w:eastAsia="Calibri" w:cs="Arial"/>
          <w:szCs w:val="20"/>
          <w:lang w:eastAsia="sl-SI"/>
        </w:rPr>
        <w:t xml:space="preserve"> pridobitve lastninske pravice</w:t>
      </w:r>
      <w:r w:rsidRPr="006E1BA9">
        <w:rPr>
          <w:rFonts w:eastAsia="Calibri" w:cs="Arial"/>
          <w:szCs w:val="20"/>
          <w:lang w:eastAsia="sl-SI"/>
        </w:rPr>
        <w:t>, glede katerega vzajemnost obstaja,</w:t>
      </w:r>
    </w:p>
    <w:p w14:paraId="7A249278" w14:textId="782AC45D" w:rsidR="002C3FD6" w:rsidRPr="006E1BA9" w:rsidRDefault="002C3FD6" w:rsidP="00E9030B">
      <w:pPr>
        <w:spacing w:line="276" w:lineRule="auto"/>
        <w:jc w:val="both"/>
        <w:rPr>
          <w:rFonts w:eastAsia="Calibri" w:cs="Arial"/>
          <w:szCs w:val="20"/>
          <w:lang w:eastAsia="sl-SI"/>
        </w:rPr>
      </w:pPr>
      <w:r w:rsidRPr="006E1BA9">
        <w:rPr>
          <w:rFonts w:eastAsia="Calibri" w:cs="Arial"/>
          <w:szCs w:val="20"/>
          <w:lang w:eastAsia="sl-SI"/>
        </w:rPr>
        <w:t>–</w:t>
      </w:r>
      <w:r w:rsidR="00C9183D" w:rsidRPr="006E1BA9">
        <w:rPr>
          <w:rFonts w:eastAsia="Calibri" w:cs="Arial"/>
          <w:szCs w:val="20"/>
          <w:lang w:eastAsia="sl-SI"/>
        </w:rPr>
        <w:t xml:space="preserve"> </w:t>
      </w:r>
      <w:r w:rsidRPr="006E1BA9">
        <w:rPr>
          <w:rFonts w:eastAsia="Calibri" w:cs="Arial"/>
          <w:szCs w:val="20"/>
          <w:lang w:eastAsia="sl-SI"/>
        </w:rPr>
        <w:t>način</w:t>
      </w:r>
      <w:r w:rsidR="008E149B" w:rsidRPr="006E1BA9">
        <w:rPr>
          <w:rFonts w:eastAsia="Calibri" w:cs="Arial"/>
          <w:szCs w:val="20"/>
          <w:lang w:eastAsia="sl-SI"/>
        </w:rPr>
        <w:t xml:space="preserve"> pridobitve lastninske pravice</w:t>
      </w:r>
      <w:r w:rsidRPr="006E1BA9">
        <w:rPr>
          <w:rFonts w:eastAsia="Calibri" w:cs="Arial"/>
          <w:szCs w:val="20"/>
          <w:lang w:eastAsia="sl-SI"/>
        </w:rPr>
        <w:t>, glede katerega vzajemnost ne obstaja.</w:t>
      </w:r>
    </w:p>
    <w:p w14:paraId="68140A84" w14:textId="77777777" w:rsidR="002C3FD6" w:rsidRPr="006E1BA9" w:rsidRDefault="002C3FD6" w:rsidP="00E9030B">
      <w:pPr>
        <w:spacing w:line="276" w:lineRule="auto"/>
        <w:jc w:val="both"/>
        <w:rPr>
          <w:rFonts w:eastAsia="Calibri" w:cs="Arial"/>
          <w:szCs w:val="20"/>
          <w:lang w:eastAsia="sl-SI"/>
        </w:rPr>
      </w:pPr>
    </w:p>
    <w:p w14:paraId="63E44CC8" w14:textId="77777777" w:rsidR="002C3FD6" w:rsidRPr="006E1BA9" w:rsidRDefault="002C3FD6" w:rsidP="00E9030B">
      <w:pPr>
        <w:spacing w:line="276" w:lineRule="auto"/>
        <w:jc w:val="both"/>
        <w:rPr>
          <w:rFonts w:eastAsia="Calibri" w:cs="Arial"/>
          <w:szCs w:val="20"/>
          <w:lang w:eastAsia="sl-SI"/>
        </w:rPr>
      </w:pPr>
      <w:r w:rsidRPr="006E1BA9">
        <w:rPr>
          <w:rFonts w:eastAsia="Calibri" w:cs="Arial"/>
          <w:szCs w:val="20"/>
          <w:lang w:eastAsia="sl-SI"/>
        </w:rPr>
        <w:t>(2) Podatki iz prejšnjega odstavka se v evidenco vpišejo takrat, ko postane odločba s polno obrazložitvijo pravnomočna.</w:t>
      </w:r>
    </w:p>
    <w:p w14:paraId="486284E6" w14:textId="77777777" w:rsidR="002C3FD6" w:rsidRPr="006E1BA9" w:rsidRDefault="002C3FD6" w:rsidP="002C3FD6">
      <w:pPr>
        <w:suppressAutoHyphens/>
        <w:overflowPunct w:val="0"/>
        <w:autoSpaceDE w:val="0"/>
        <w:autoSpaceDN w:val="0"/>
        <w:adjustRightInd w:val="0"/>
        <w:spacing w:before="480" w:line="276" w:lineRule="auto"/>
        <w:jc w:val="center"/>
        <w:rPr>
          <w:rFonts w:eastAsia="Calibri" w:cs="Arial"/>
          <w:b/>
          <w:szCs w:val="20"/>
        </w:rPr>
      </w:pPr>
      <w:r w:rsidRPr="006E1BA9">
        <w:rPr>
          <w:rFonts w:eastAsia="Calibri" w:cs="Arial"/>
          <w:b/>
          <w:szCs w:val="20"/>
        </w:rPr>
        <w:t>4. člen</w:t>
      </w:r>
    </w:p>
    <w:p w14:paraId="06914925" w14:textId="77777777" w:rsidR="002C3FD6" w:rsidRPr="006E1BA9" w:rsidRDefault="002C3FD6" w:rsidP="002C3FD6">
      <w:pPr>
        <w:spacing w:line="276" w:lineRule="auto"/>
        <w:ind w:firstLine="1"/>
        <w:jc w:val="both"/>
        <w:rPr>
          <w:rFonts w:eastAsia="Calibri" w:cs="Arial"/>
          <w:szCs w:val="20"/>
          <w:lang w:eastAsia="sl-SI"/>
        </w:rPr>
      </w:pPr>
    </w:p>
    <w:p w14:paraId="0EAFBEE6" w14:textId="77777777" w:rsidR="002C3FD6" w:rsidRPr="006E1BA9" w:rsidRDefault="002C3FD6" w:rsidP="002C3FD6">
      <w:pPr>
        <w:spacing w:line="276" w:lineRule="auto"/>
        <w:ind w:firstLine="1"/>
        <w:jc w:val="both"/>
        <w:rPr>
          <w:rFonts w:eastAsia="Calibri" w:cs="Arial"/>
          <w:szCs w:val="20"/>
          <w:lang w:eastAsia="sl-SI"/>
        </w:rPr>
      </w:pPr>
      <w:r w:rsidRPr="006E1BA9">
        <w:rPr>
          <w:rFonts w:eastAsia="Calibri" w:cs="Arial"/>
          <w:szCs w:val="20"/>
          <w:lang w:eastAsia="sl-SI"/>
        </w:rPr>
        <w:t>(1) Evidenca o izdanih odločbah o obstoju vzajemnosti vsebuje:</w:t>
      </w:r>
    </w:p>
    <w:p w14:paraId="073B48B6" w14:textId="77777777" w:rsidR="002C3FD6" w:rsidRPr="006E1BA9" w:rsidRDefault="002C3FD6" w:rsidP="002C3FD6">
      <w:pPr>
        <w:spacing w:line="276" w:lineRule="auto"/>
        <w:ind w:firstLine="1"/>
        <w:jc w:val="both"/>
        <w:rPr>
          <w:rFonts w:eastAsia="Calibri" w:cs="Arial"/>
          <w:szCs w:val="20"/>
          <w:lang w:eastAsia="sl-SI"/>
        </w:rPr>
      </w:pPr>
      <w:r w:rsidRPr="006E1BA9">
        <w:rPr>
          <w:rFonts w:eastAsia="Calibri" w:cs="Arial"/>
          <w:szCs w:val="20"/>
          <w:lang w:eastAsia="sl-SI"/>
        </w:rPr>
        <w:t>1. zaporedno številko odločbe v tekočem letu,</w:t>
      </w:r>
    </w:p>
    <w:p w14:paraId="086128B7" w14:textId="77777777" w:rsidR="002C3FD6" w:rsidRPr="006E1BA9" w:rsidRDefault="002C3FD6" w:rsidP="002C3FD6">
      <w:pPr>
        <w:spacing w:line="276" w:lineRule="auto"/>
        <w:ind w:left="425" w:hanging="425"/>
        <w:jc w:val="both"/>
        <w:rPr>
          <w:rFonts w:eastAsia="Calibri" w:cs="Arial"/>
          <w:szCs w:val="20"/>
          <w:lang w:eastAsia="sl-SI"/>
        </w:rPr>
      </w:pPr>
      <w:r w:rsidRPr="006E1BA9">
        <w:rPr>
          <w:rFonts w:eastAsia="Calibri" w:cs="Arial"/>
          <w:szCs w:val="20"/>
          <w:lang w:eastAsia="sl-SI"/>
        </w:rPr>
        <w:t>2. številko in datum odločbe ter datum pravnomočnosti,</w:t>
      </w:r>
    </w:p>
    <w:p w14:paraId="1263A99C" w14:textId="77777777" w:rsidR="002C3FD6" w:rsidRPr="006E1BA9" w:rsidRDefault="002C3FD6" w:rsidP="002C3FD6">
      <w:pPr>
        <w:spacing w:line="276" w:lineRule="auto"/>
        <w:ind w:left="425" w:hanging="425"/>
        <w:jc w:val="both"/>
        <w:rPr>
          <w:rFonts w:eastAsia="Calibri" w:cs="Arial"/>
          <w:szCs w:val="20"/>
          <w:lang w:eastAsia="sl-SI"/>
        </w:rPr>
      </w:pPr>
      <w:r w:rsidRPr="006E1BA9">
        <w:rPr>
          <w:rFonts w:eastAsia="Calibri" w:cs="Arial"/>
          <w:szCs w:val="20"/>
          <w:lang w:eastAsia="sl-SI"/>
        </w:rPr>
        <w:t>2. državljanstvo tujca,</w:t>
      </w:r>
    </w:p>
    <w:p w14:paraId="146E70D5" w14:textId="77777777" w:rsidR="002C3FD6" w:rsidRPr="006E1BA9" w:rsidRDefault="002C3FD6" w:rsidP="002C3FD6">
      <w:pPr>
        <w:spacing w:line="276" w:lineRule="auto"/>
        <w:ind w:left="425" w:hanging="425"/>
        <w:jc w:val="both"/>
        <w:rPr>
          <w:rFonts w:eastAsia="Calibri" w:cs="Arial"/>
          <w:szCs w:val="20"/>
          <w:lang w:eastAsia="sl-SI"/>
        </w:rPr>
      </w:pPr>
      <w:r w:rsidRPr="006E1BA9">
        <w:rPr>
          <w:rFonts w:eastAsia="Calibri" w:cs="Arial"/>
          <w:szCs w:val="20"/>
          <w:lang w:eastAsia="sl-SI"/>
        </w:rPr>
        <w:t>3. vrsto nepremičnine,</w:t>
      </w:r>
    </w:p>
    <w:p w14:paraId="6BEB66D4" w14:textId="77777777" w:rsidR="002C3FD6" w:rsidRPr="006E1BA9" w:rsidRDefault="002C3FD6" w:rsidP="002C3FD6">
      <w:pPr>
        <w:spacing w:line="276" w:lineRule="auto"/>
        <w:ind w:left="425" w:hanging="425"/>
        <w:jc w:val="both"/>
        <w:rPr>
          <w:rFonts w:eastAsia="Calibri" w:cs="Arial"/>
          <w:szCs w:val="20"/>
          <w:lang w:eastAsia="sl-SI"/>
        </w:rPr>
      </w:pPr>
      <w:r w:rsidRPr="006E1BA9">
        <w:rPr>
          <w:rFonts w:eastAsia="Calibri" w:cs="Arial"/>
          <w:szCs w:val="20"/>
          <w:lang w:eastAsia="sl-SI"/>
        </w:rPr>
        <w:t>4. katastrsko občino, v kateri leži nepremičnina,</w:t>
      </w:r>
    </w:p>
    <w:p w14:paraId="40D4CFD9" w14:textId="77777777" w:rsidR="002C3FD6" w:rsidRPr="006E1BA9" w:rsidRDefault="002C3FD6" w:rsidP="002C3FD6">
      <w:pPr>
        <w:tabs>
          <w:tab w:val="left" w:pos="567"/>
        </w:tabs>
        <w:spacing w:line="276" w:lineRule="auto"/>
        <w:jc w:val="both"/>
        <w:rPr>
          <w:rFonts w:eastAsia="Calibri" w:cs="Arial"/>
          <w:szCs w:val="20"/>
          <w:lang w:eastAsia="sl-SI"/>
        </w:rPr>
      </w:pPr>
      <w:r w:rsidRPr="006E1BA9">
        <w:rPr>
          <w:rFonts w:eastAsia="Calibri" w:cs="Arial"/>
          <w:szCs w:val="20"/>
          <w:lang w:eastAsia="sl-SI"/>
        </w:rPr>
        <w:t>5. vrsto odločitve (na primer odločba o ugotovitvi, da vzajemnost obstaja, da vzajemnost ne obstaja, sklep o zavrženju, o ustavitvi postopka),</w:t>
      </w:r>
    </w:p>
    <w:p w14:paraId="3F3682FC" w14:textId="77777777" w:rsidR="002C3FD6" w:rsidRPr="006E1BA9" w:rsidRDefault="002C3FD6" w:rsidP="002C3FD6">
      <w:pPr>
        <w:tabs>
          <w:tab w:val="left" w:pos="567"/>
        </w:tabs>
        <w:spacing w:line="276" w:lineRule="auto"/>
        <w:jc w:val="both"/>
        <w:rPr>
          <w:rFonts w:eastAsia="Calibri" w:cs="Arial"/>
          <w:szCs w:val="20"/>
          <w:lang w:eastAsia="sl-SI"/>
        </w:rPr>
      </w:pPr>
      <w:r w:rsidRPr="006E1BA9">
        <w:rPr>
          <w:rFonts w:eastAsia="Calibri" w:cs="Arial"/>
          <w:szCs w:val="20"/>
          <w:lang w:eastAsia="sl-SI"/>
        </w:rPr>
        <w:t>6. podatek o tem, ali je bil sprožen upravni spor,</w:t>
      </w:r>
    </w:p>
    <w:p w14:paraId="294BDE81" w14:textId="77777777" w:rsidR="002C3FD6" w:rsidRPr="006E1BA9" w:rsidRDefault="002C3FD6" w:rsidP="002C3FD6">
      <w:pPr>
        <w:tabs>
          <w:tab w:val="left" w:pos="567"/>
        </w:tabs>
        <w:spacing w:line="276" w:lineRule="auto"/>
        <w:jc w:val="both"/>
        <w:rPr>
          <w:rFonts w:eastAsia="Calibri" w:cs="Arial"/>
          <w:szCs w:val="20"/>
          <w:lang w:eastAsia="sl-SI"/>
        </w:rPr>
      </w:pPr>
      <w:r w:rsidRPr="006E1BA9">
        <w:rPr>
          <w:rFonts w:eastAsia="Calibri" w:cs="Arial"/>
          <w:szCs w:val="20"/>
          <w:lang w:eastAsia="sl-SI"/>
        </w:rPr>
        <w:t>7. če je bil sprožen upravni spor, podatek o odločitvi sodišča.</w:t>
      </w:r>
    </w:p>
    <w:p w14:paraId="5EA3D659" w14:textId="77777777" w:rsidR="002C3FD6" w:rsidRPr="006E1BA9" w:rsidRDefault="002C3FD6" w:rsidP="002C3FD6">
      <w:pPr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eastAsia="Calibri" w:cs="Arial"/>
          <w:szCs w:val="20"/>
        </w:rPr>
      </w:pPr>
      <w:r w:rsidRPr="006E1BA9">
        <w:rPr>
          <w:rFonts w:eastAsia="Calibri" w:cs="Arial"/>
          <w:szCs w:val="20"/>
        </w:rPr>
        <w:t>(2) Podatki iz prejšnjega odstavka se v evidenco vpisujejo tekoče oziroma po koncu vsakega upravnega dejanja v postopku.</w:t>
      </w:r>
    </w:p>
    <w:p w14:paraId="4E630C37" w14:textId="77777777" w:rsidR="002C3FD6" w:rsidRPr="006E1BA9" w:rsidRDefault="002C3FD6" w:rsidP="002C3FD6">
      <w:pPr>
        <w:suppressAutoHyphens/>
        <w:overflowPunct w:val="0"/>
        <w:autoSpaceDE w:val="0"/>
        <w:autoSpaceDN w:val="0"/>
        <w:adjustRightInd w:val="0"/>
        <w:spacing w:before="480" w:line="276" w:lineRule="auto"/>
        <w:jc w:val="center"/>
        <w:rPr>
          <w:rFonts w:eastAsia="Calibri" w:cs="Arial"/>
          <w:b/>
          <w:szCs w:val="20"/>
        </w:rPr>
      </w:pPr>
      <w:r w:rsidRPr="006E1BA9">
        <w:rPr>
          <w:rFonts w:eastAsia="Calibri" w:cs="Arial"/>
          <w:b/>
          <w:szCs w:val="20"/>
        </w:rPr>
        <w:t>5. člen</w:t>
      </w:r>
    </w:p>
    <w:p w14:paraId="48D88BCC" w14:textId="77777777" w:rsidR="002C3FD6" w:rsidRPr="006E1BA9" w:rsidRDefault="002C3FD6" w:rsidP="002C3FD6">
      <w:pPr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eastAsia="Calibri" w:cs="Arial"/>
          <w:szCs w:val="20"/>
        </w:rPr>
      </w:pPr>
      <w:r w:rsidRPr="006E1BA9">
        <w:rPr>
          <w:rFonts w:eastAsia="Calibri" w:cs="Arial"/>
          <w:szCs w:val="20"/>
        </w:rPr>
        <w:t>Ta pravilnik začne veljati petnajsti dan po objavi v Uradnem listu Republike Slovenije.</w:t>
      </w:r>
    </w:p>
    <w:p w14:paraId="46304EF0" w14:textId="77777777" w:rsidR="000F34A1" w:rsidRPr="006E1BA9" w:rsidRDefault="000F34A1" w:rsidP="000F34A1">
      <w:pPr>
        <w:autoSpaceDE w:val="0"/>
        <w:autoSpaceDN w:val="0"/>
        <w:adjustRightInd w:val="0"/>
        <w:spacing w:line="288" w:lineRule="auto"/>
        <w:jc w:val="both"/>
        <w:rPr>
          <w:rFonts w:eastAsia="Calibri" w:cs="Arial"/>
          <w:szCs w:val="20"/>
        </w:rPr>
      </w:pPr>
    </w:p>
    <w:p w14:paraId="33D437E3" w14:textId="77777777" w:rsidR="000F34A1" w:rsidRPr="006E1BA9" w:rsidRDefault="000F34A1" w:rsidP="000F34A1">
      <w:pPr>
        <w:autoSpaceDE w:val="0"/>
        <w:autoSpaceDN w:val="0"/>
        <w:adjustRightInd w:val="0"/>
        <w:spacing w:line="288" w:lineRule="auto"/>
        <w:jc w:val="both"/>
        <w:rPr>
          <w:rFonts w:eastAsia="Calibri" w:cs="Arial"/>
          <w:szCs w:val="20"/>
        </w:rPr>
      </w:pPr>
    </w:p>
    <w:p w14:paraId="55F11F46" w14:textId="642A08D6" w:rsidR="000F34A1" w:rsidRPr="006E1BA9" w:rsidRDefault="000F34A1" w:rsidP="000F34A1">
      <w:pPr>
        <w:autoSpaceDE w:val="0"/>
        <w:autoSpaceDN w:val="0"/>
        <w:adjustRightInd w:val="0"/>
        <w:spacing w:line="288" w:lineRule="auto"/>
        <w:jc w:val="both"/>
        <w:rPr>
          <w:rFonts w:eastAsia="Calibri" w:cs="Arial"/>
          <w:bCs/>
          <w:szCs w:val="20"/>
        </w:rPr>
      </w:pPr>
      <w:r w:rsidRPr="006E1BA9">
        <w:rPr>
          <w:rFonts w:eastAsia="Calibri" w:cs="Arial"/>
          <w:szCs w:val="20"/>
        </w:rPr>
        <w:t>Št. 007-273/2017</w:t>
      </w:r>
      <w:r w:rsidRPr="006E1BA9">
        <w:rPr>
          <w:rFonts w:eastAsia="Calibri" w:cs="Arial"/>
          <w:szCs w:val="20"/>
        </w:rPr>
        <w:tab/>
      </w:r>
    </w:p>
    <w:p w14:paraId="1E49A31D" w14:textId="6D43AC95" w:rsidR="000F34A1" w:rsidRPr="006E1BA9" w:rsidRDefault="000F34A1" w:rsidP="000F34A1">
      <w:pPr>
        <w:spacing w:line="288" w:lineRule="auto"/>
        <w:jc w:val="both"/>
        <w:rPr>
          <w:rFonts w:eastAsia="Calibri" w:cs="Arial"/>
          <w:szCs w:val="20"/>
        </w:rPr>
      </w:pPr>
      <w:r w:rsidRPr="006E1BA9">
        <w:rPr>
          <w:rFonts w:eastAsia="Calibri" w:cs="Arial"/>
          <w:szCs w:val="20"/>
        </w:rPr>
        <w:t xml:space="preserve">Ljubljana, dne </w:t>
      </w:r>
    </w:p>
    <w:p w14:paraId="0A034B7B" w14:textId="3E469E46" w:rsidR="000F34A1" w:rsidRPr="006E1BA9" w:rsidRDefault="000F34A1" w:rsidP="000F34A1">
      <w:pPr>
        <w:autoSpaceDE w:val="0"/>
        <w:autoSpaceDN w:val="0"/>
        <w:adjustRightInd w:val="0"/>
        <w:spacing w:line="240" w:lineRule="auto"/>
        <w:rPr>
          <w:rFonts w:ascii="Tms Rmn" w:hAnsi="Tms Rmn"/>
          <w:sz w:val="24"/>
          <w:lang w:eastAsia="sl-SI"/>
        </w:rPr>
      </w:pPr>
      <w:r w:rsidRPr="006E1BA9">
        <w:rPr>
          <w:rFonts w:ascii="Helv" w:hAnsi="Helv" w:cs="Helv"/>
          <w:color w:val="000000"/>
          <w:szCs w:val="20"/>
          <w:lang w:eastAsia="sl-SI"/>
        </w:rPr>
        <w:t>EVA 2017-2030-0031</w:t>
      </w:r>
    </w:p>
    <w:p w14:paraId="3B736D26" w14:textId="77777777" w:rsidR="000F34A1" w:rsidRPr="006E1BA9" w:rsidRDefault="000F34A1" w:rsidP="000F34A1">
      <w:pPr>
        <w:spacing w:line="288" w:lineRule="auto"/>
        <w:jc w:val="center"/>
        <w:rPr>
          <w:rFonts w:cs="Arial"/>
          <w:szCs w:val="20"/>
          <w:lang w:eastAsia="sl-SI"/>
        </w:rPr>
      </w:pPr>
    </w:p>
    <w:p w14:paraId="562F1EE0" w14:textId="77777777" w:rsidR="000F34A1" w:rsidRPr="006E1BA9" w:rsidRDefault="000F34A1" w:rsidP="000F34A1">
      <w:pPr>
        <w:tabs>
          <w:tab w:val="left" w:pos="5670"/>
        </w:tabs>
        <w:spacing w:line="288" w:lineRule="auto"/>
        <w:jc w:val="center"/>
        <w:rPr>
          <w:rFonts w:eastAsia="Calibri" w:cs="Arial"/>
          <w:b/>
          <w:i/>
          <w:szCs w:val="20"/>
        </w:rPr>
      </w:pPr>
      <w:r w:rsidRPr="006E1BA9">
        <w:rPr>
          <w:rFonts w:eastAsia="Calibri" w:cs="Arial"/>
          <w:szCs w:val="20"/>
        </w:rPr>
        <w:tab/>
      </w:r>
    </w:p>
    <w:p w14:paraId="68C04992" w14:textId="77777777" w:rsidR="000F34A1" w:rsidRPr="006E1BA9" w:rsidRDefault="000F34A1" w:rsidP="000F34A1">
      <w:pPr>
        <w:tabs>
          <w:tab w:val="left" w:pos="5670"/>
        </w:tabs>
        <w:spacing w:line="288" w:lineRule="auto"/>
        <w:jc w:val="center"/>
        <w:rPr>
          <w:rFonts w:eastAsia="Calibri" w:cs="Arial"/>
          <w:b/>
          <w:i/>
          <w:szCs w:val="20"/>
        </w:rPr>
      </w:pPr>
      <w:r w:rsidRPr="006E1BA9">
        <w:rPr>
          <w:rFonts w:eastAsia="Calibri" w:cs="Arial"/>
          <w:b/>
          <w:i/>
          <w:szCs w:val="20"/>
        </w:rPr>
        <w:tab/>
        <w:t xml:space="preserve">  mag. Goran KLEMENČIČ </w:t>
      </w:r>
      <w:proofErr w:type="spellStart"/>
      <w:r w:rsidRPr="006E1BA9">
        <w:rPr>
          <w:rFonts w:eastAsia="Calibri" w:cs="Arial"/>
          <w:b/>
          <w:i/>
          <w:szCs w:val="20"/>
        </w:rPr>
        <w:t>l.r</w:t>
      </w:r>
      <w:proofErr w:type="spellEnd"/>
      <w:r w:rsidRPr="006E1BA9">
        <w:rPr>
          <w:rFonts w:eastAsia="Calibri" w:cs="Arial"/>
          <w:b/>
          <w:i/>
          <w:szCs w:val="20"/>
        </w:rPr>
        <w:t>.</w:t>
      </w:r>
    </w:p>
    <w:p w14:paraId="33D349D8" w14:textId="77777777" w:rsidR="000F34A1" w:rsidRPr="006E1BA9" w:rsidRDefault="000F34A1" w:rsidP="000F34A1">
      <w:pPr>
        <w:tabs>
          <w:tab w:val="left" w:pos="5670"/>
        </w:tabs>
        <w:spacing w:line="288" w:lineRule="auto"/>
        <w:jc w:val="center"/>
        <w:rPr>
          <w:rFonts w:eastAsia="Calibri" w:cs="Arial"/>
          <w:b/>
          <w:i/>
          <w:szCs w:val="20"/>
        </w:rPr>
      </w:pPr>
      <w:r w:rsidRPr="006E1BA9">
        <w:rPr>
          <w:rFonts w:eastAsia="Calibri" w:cs="Arial"/>
          <w:b/>
          <w:i/>
          <w:szCs w:val="20"/>
        </w:rPr>
        <w:tab/>
        <w:t>Minister za pravosodje</w:t>
      </w:r>
    </w:p>
    <w:p w14:paraId="4D5D087B" w14:textId="77777777" w:rsidR="00AB0673" w:rsidRPr="006E1BA9" w:rsidRDefault="00AB0673">
      <w:bookmarkStart w:id="0" w:name="_GoBack"/>
      <w:bookmarkEnd w:id="0"/>
    </w:p>
    <w:sectPr w:rsidR="00AB0673" w:rsidRPr="006E1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D6"/>
    <w:rsid w:val="000472E6"/>
    <w:rsid w:val="000F34A1"/>
    <w:rsid w:val="00171014"/>
    <w:rsid w:val="002851BA"/>
    <w:rsid w:val="00290BBA"/>
    <w:rsid w:val="002A278F"/>
    <w:rsid w:val="002C3FD6"/>
    <w:rsid w:val="002E5FC6"/>
    <w:rsid w:val="002F2858"/>
    <w:rsid w:val="00387759"/>
    <w:rsid w:val="006A5267"/>
    <w:rsid w:val="006E1BA9"/>
    <w:rsid w:val="00751C52"/>
    <w:rsid w:val="00777E22"/>
    <w:rsid w:val="008E149B"/>
    <w:rsid w:val="00AB0673"/>
    <w:rsid w:val="00AB16F9"/>
    <w:rsid w:val="00BE521E"/>
    <w:rsid w:val="00C64E79"/>
    <w:rsid w:val="00C8294F"/>
    <w:rsid w:val="00C9183D"/>
    <w:rsid w:val="00D362AB"/>
    <w:rsid w:val="00E9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035F"/>
  <w15:chartTrackingRefBased/>
  <w15:docId w15:val="{C9A15308-AE32-4E87-BF17-745BFDCC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2C3FD6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29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294F"/>
    <w:rPr>
      <w:rFonts w:ascii="Segoe UI" w:eastAsia="Times New Roman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C829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8294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8294F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8294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8294F"/>
    <w:rPr>
      <w:rFonts w:ascii="Arial" w:eastAsia="Times New Roman" w:hAnsi="Arial" w:cs="Times New Roman"/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0472E6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AB16F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4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Šumah</dc:creator>
  <cp:keywords/>
  <dc:description/>
  <cp:lastModifiedBy>Darja Šumah</cp:lastModifiedBy>
  <cp:revision>3</cp:revision>
  <cp:lastPrinted>2017-08-04T12:32:00Z</cp:lastPrinted>
  <dcterms:created xsi:type="dcterms:W3CDTF">2017-08-09T09:23:00Z</dcterms:created>
  <dcterms:modified xsi:type="dcterms:W3CDTF">2017-08-09T09:24:00Z</dcterms:modified>
</cp:coreProperties>
</file>