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DB666" w14:textId="435FCE8E" w:rsidR="007B2D7E" w:rsidRPr="005010ED" w:rsidRDefault="007B2D7E" w:rsidP="007E5725">
      <w:pPr>
        <w:spacing w:after="0" w:line="260" w:lineRule="atLeast"/>
        <w:jc w:val="right"/>
        <w:rPr>
          <w:rFonts w:cs="Arial"/>
          <w:b/>
        </w:rPr>
      </w:pPr>
      <w:r w:rsidRPr="005010ED">
        <w:rPr>
          <w:rFonts w:cs="Arial"/>
          <w:b/>
        </w:rPr>
        <w:t>OSNUTEK</w:t>
      </w:r>
      <w:r w:rsidR="00D23D35">
        <w:rPr>
          <w:rFonts w:cs="Arial"/>
          <w:b/>
        </w:rPr>
        <w:t xml:space="preserve"> 19. 3. 2018</w:t>
      </w:r>
    </w:p>
    <w:p w14:paraId="5C8B4995" w14:textId="77777777" w:rsidR="007B2D7E" w:rsidRDefault="007B2D7E" w:rsidP="007E5725">
      <w:pPr>
        <w:spacing w:after="0" w:line="260" w:lineRule="atLeast"/>
        <w:jc w:val="both"/>
        <w:rPr>
          <w:rFonts w:cs="Arial"/>
        </w:rPr>
      </w:pPr>
    </w:p>
    <w:p w14:paraId="6692D3DC" w14:textId="6D9FBBEE" w:rsidR="00722A85" w:rsidRPr="00957345" w:rsidRDefault="004D161B" w:rsidP="007E5725">
      <w:pPr>
        <w:spacing w:after="0" w:line="260" w:lineRule="atLeast"/>
        <w:jc w:val="both"/>
        <w:rPr>
          <w:rFonts w:cs="Arial"/>
        </w:rPr>
      </w:pPr>
      <w:r w:rsidRPr="00957345">
        <w:rPr>
          <w:rFonts w:cs="Arial"/>
        </w:rPr>
        <w:t xml:space="preserve">Na podlagi </w:t>
      </w:r>
      <w:r w:rsidR="006C755E">
        <w:rPr>
          <w:rFonts w:cs="Arial"/>
        </w:rPr>
        <w:t>petega</w:t>
      </w:r>
      <w:r w:rsidRPr="00957345">
        <w:rPr>
          <w:rFonts w:cs="Arial"/>
        </w:rPr>
        <w:t xml:space="preserve"> odstavka </w:t>
      </w:r>
      <w:r w:rsidR="005010ED">
        <w:rPr>
          <w:rFonts w:cs="Arial"/>
        </w:rPr>
        <w:t>4</w:t>
      </w:r>
      <w:r w:rsidR="006C755E">
        <w:rPr>
          <w:rFonts w:cs="Arial"/>
        </w:rPr>
        <w:t>1</w:t>
      </w:r>
      <w:r w:rsidRPr="00957345">
        <w:rPr>
          <w:rFonts w:cs="Arial"/>
        </w:rPr>
        <w:t xml:space="preserve">. člena Zakona o množičnem vrednotenju nepremičnin (Uradni list Republike Slovenije, št. </w:t>
      </w:r>
      <w:r w:rsidR="00527041">
        <w:rPr>
          <w:rFonts w:cs="Arial"/>
        </w:rPr>
        <w:t>77/17</w:t>
      </w:r>
      <w:r w:rsidRPr="00957345">
        <w:rPr>
          <w:rFonts w:cs="Arial"/>
        </w:rPr>
        <w:t>) izdaja minist</w:t>
      </w:r>
      <w:r w:rsidR="006C4DC4">
        <w:rPr>
          <w:rFonts w:cs="Arial"/>
        </w:rPr>
        <w:t>rica</w:t>
      </w:r>
      <w:r w:rsidR="00485B89">
        <w:rPr>
          <w:rFonts w:cs="Arial"/>
        </w:rPr>
        <w:t xml:space="preserve"> za okolje in prostor</w:t>
      </w:r>
      <w:r w:rsidR="006C4DC4">
        <w:rPr>
          <w:rFonts w:cs="Arial"/>
        </w:rPr>
        <w:t xml:space="preserve"> v soglasju z ministrico za finance</w:t>
      </w:r>
    </w:p>
    <w:p w14:paraId="29D68CFE" w14:textId="77777777" w:rsidR="004D161B" w:rsidRPr="00957345" w:rsidRDefault="004D161B" w:rsidP="007E5725">
      <w:pPr>
        <w:spacing w:after="0" w:line="260" w:lineRule="atLeast"/>
        <w:jc w:val="both"/>
        <w:rPr>
          <w:rFonts w:cs="Arial"/>
        </w:rPr>
      </w:pPr>
    </w:p>
    <w:p w14:paraId="26EBBF98" w14:textId="5B4B0583" w:rsidR="005010ED" w:rsidRDefault="004D161B" w:rsidP="007E5725">
      <w:pPr>
        <w:spacing w:after="0" w:line="260" w:lineRule="atLeast"/>
        <w:jc w:val="center"/>
        <w:rPr>
          <w:rFonts w:cs="Arial"/>
          <w:b/>
        </w:rPr>
      </w:pPr>
      <w:r w:rsidRPr="00957345">
        <w:rPr>
          <w:rFonts w:cs="Arial"/>
          <w:b/>
        </w:rPr>
        <w:t>PRAVILNIK</w:t>
      </w:r>
    </w:p>
    <w:p w14:paraId="3D220375" w14:textId="681F5D36" w:rsidR="004D161B" w:rsidRDefault="005010ED" w:rsidP="007E5725">
      <w:pPr>
        <w:spacing w:after="0" w:line="260" w:lineRule="atLeast"/>
        <w:jc w:val="center"/>
        <w:rPr>
          <w:rFonts w:cs="Arial"/>
          <w:b/>
        </w:rPr>
      </w:pPr>
      <w:r>
        <w:rPr>
          <w:rFonts w:cs="Arial"/>
          <w:b/>
        </w:rPr>
        <w:t>o vsebini vprašalnikov za pridobivanje podatkov</w:t>
      </w:r>
    </w:p>
    <w:p w14:paraId="0FCEB348" w14:textId="77777777" w:rsidR="007E5725" w:rsidRPr="00957345" w:rsidRDefault="007E5725" w:rsidP="007E5725">
      <w:pPr>
        <w:spacing w:after="0" w:line="260" w:lineRule="atLeast"/>
        <w:jc w:val="center"/>
        <w:rPr>
          <w:rFonts w:cs="Arial"/>
          <w:b/>
        </w:rPr>
      </w:pPr>
    </w:p>
    <w:p w14:paraId="52868086" w14:textId="54490196" w:rsidR="004D161B" w:rsidRPr="007E5725" w:rsidRDefault="007E5725" w:rsidP="007E5725">
      <w:pPr>
        <w:pStyle w:val="Odstavekseznama"/>
        <w:spacing w:after="0" w:line="260" w:lineRule="atLeast"/>
        <w:ind w:left="0"/>
        <w:jc w:val="center"/>
        <w:rPr>
          <w:rFonts w:cs="Arial"/>
          <w:b/>
        </w:rPr>
      </w:pPr>
      <w:r w:rsidRPr="007E5725">
        <w:rPr>
          <w:rFonts w:cs="Arial"/>
          <w:b/>
        </w:rPr>
        <w:t xml:space="preserve">1. </w:t>
      </w:r>
      <w:r w:rsidR="004458F5" w:rsidRPr="007E5725">
        <w:rPr>
          <w:rFonts w:cs="Arial"/>
          <w:b/>
        </w:rPr>
        <w:t>člen</w:t>
      </w:r>
    </w:p>
    <w:p w14:paraId="6B4275C6" w14:textId="77777777" w:rsidR="007E5725" w:rsidRDefault="007E5725" w:rsidP="007E5725">
      <w:pPr>
        <w:autoSpaceDE w:val="0"/>
        <w:autoSpaceDN w:val="0"/>
        <w:adjustRightInd w:val="0"/>
        <w:spacing w:after="0" w:line="260" w:lineRule="atLeast"/>
        <w:jc w:val="both"/>
        <w:rPr>
          <w:rFonts w:cs="Arial"/>
        </w:rPr>
      </w:pPr>
    </w:p>
    <w:p w14:paraId="0CFD8646" w14:textId="093323E3" w:rsidR="008A1EBE" w:rsidRPr="00957345" w:rsidRDefault="004D161B" w:rsidP="007E5725">
      <w:pPr>
        <w:autoSpaceDE w:val="0"/>
        <w:autoSpaceDN w:val="0"/>
        <w:adjustRightInd w:val="0"/>
        <w:spacing w:after="0" w:line="260" w:lineRule="atLeast"/>
        <w:jc w:val="both"/>
        <w:rPr>
          <w:rFonts w:cs="Arial"/>
        </w:rPr>
      </w:pPr>
      <w:r w:rsidRPr="00957345">
        <w:rPr>
          <w:rFonts w:cs="Arial"/>
        </w:rPr>
        <w:t>S tem pravilnik</w:t>
      </w:r>
      <w:r w:rsidR="00957345">
        <w:rPr>
          <w:rFonts w:cs="Arial"/>
        </w:rPr>
        <w:t>om se določa vsebina vprašalnikov</w:t>
      </w:r>
      <w:r w:rsidRPr="00957345">
        <w:rPr>
          <w:rFonts w:cs="Arial"/>
        </w:rPr>
        <w:t xml:space="preserve"> za </w:t>
      </w:r>
      <w:r w:rsidR="00E82E1E">
        <w:rPr>
          <w:rFonts w:cs="Arial"/>
        </w:rPr>
        <w:t>pridobivanje podatkov o lastnostih posebnih enot vrednotenja</w:t>
      </w:r>
      <w:r w:rsidR="00B122A3">
        <w:rPr>
          <w:rFonts w:cs="Arial"/>
        </w:rPr>
        <w:t>, ki se vrednotijo po modelih vrednotenja:</w:t>
      </w:r>
      <w:r w:rsidR="001474AE">
        <w:rPr>
          <w:rFonts w:cs="Arial"/>
        </w:rPr>
        <w:t xml:space="preserve"> </w:t>
      </w:r>
      <w:r w:rsidR="008A1EBE" w:rsidRPr="00957345">
        <w:rPr>
          <w:rFonts w:cs="Arial"/>
        </w:rPr>
        <w:t>mod</w:t>
      </w:r>
      <w:r w:rsidR="004458F5" w:rsidRPr="00957345">
        <w:rPr>
          <w:rFonts w:cs="Arial"/>
        </w:rPr>
        <w:t>el za bencinske servise (PNB),</w:t>
      </w:r>
      <w:r w:rsidR="008A1EBE" w:rsidRPr="00957345">
        <w:rPr>
          <w:rFonts w:cs="Arial"/>
        </w:rPr>
        <w:t xml:space="preserve"> model za elektrarne (PNE) </w:t>
      </w:r>
      <w:r w:rsidR="004458F5" w:rsidRPr="00957345">
        <w:rPr>
          <w:rFonts w:cs="Arial"/>
        </w:rPr>
        <w:t>in model za pristanišča (PNP).</w:t>
      </w:r>
    </w:p>
    <w:p w14:paraId="07C09831" w14:textId="77777777" w:rsidR="007E5725" w:rsidRDefault="007E5725" w:rsidP="007E5725">
      <w:pPr>
        <w:pStyle w:val="Odstavekseznama"/>
        <w:spacing w:after="0" w:line="260" w:lineRule="atLeast"/>
        <w:ind w:left="0"/>
        <w:jc w:val="center"/>
        <w:rPr>
          <w:rFonts w:cs="Arial"/>
          <w:b/>
        </w:rPr>
      </w:pPr>
    </w:p>
    <w:p w14:paraId="3ED4A3A4" w14:textId="78B509E1" w:rsidR="004458F5" w:rsidRPr="007E5725" w:rsidRDefault="007E5725" w:rsidP="007E5725">
      <w:pPr>
        <w:pStyle w:val="Odstavekseznama"/>
        <w:spacing w:after="0" w:line="260" w:lineRule="atLeast"/>
        <w:ind w:left="0"/>
        <w:jc w:val="center"/>
        <w:rPr>
          <w:rFonts w:cs="Arial"/>
          <w:b/>
        </w:rPr>
      </w:pPr>
      <w:r w:rsidRPr="007E5725">
        <w:rPr>
          <w:rFonts w:cs="Arial"/>
          <w:b/>
        </w:rPr>
        <w:t xml:space="preserve">2. </w:t>
      </w:r>
      <w:r w:rsidR="004458F5" w:rsidRPr="007E5725">
        <w:rPr>
          <w:rFonts w:cs="Arial"/>
          <w:b/>
        </w:rPr>
        <w:t>člen</w:t>
      </w:r>
    </w:p>
    <w:p w14:paraId="6FAD0F02" w14:textId="77777777" w:rsidR="007E5725" w:rsidRDefault="007E5725" w:rsidP="007E5725">
      <w:pPr>
        <w:spacing w:after="0" w:line="260" w:lineRule="atLeast"/>
        <w:jc w:val="both"/>
        <w:rPr>
          <w:rFonts w:cs="Arial"/>
        </w:rPr>
      </w:pPr>
    </w:p>
    <w:p w14:paraId="7E969C9F" w14:textId="49C9B5BA" w:rsidR="00613CE7" w:rsidRDefault="001639D7" w:rsidP="007E5725">
      <w:pPr>
        <w:spacing w:after="0" w:line="260" w:lineRule="atLeast"/>
        <w:jc w:val="both"/>
        <w:rPr>
          <w:rFonts w:cs="Arial"/>
        </w:rPr>
      </w:pPr>
      <w:r>
        <w:rPr>
          <w:rFonts w:cs="Arial"/>
        </w:rPr>
        <w:t xml:space="preserve">(1) </w:t>
      </w:r>
      <w:r w:rsidR="00613CE7">
        <w:rPr>
          <w:rFonts w:cs="Arial"/>
        </w:rPr>
        <w:t>Z vprašalnik</w:t>
      </w:r>
      <w:r w:rsidR="00485B89">
        <w:rPr>
          <w:rFonts w:cs="Arial"/>
        </w:rPr>
        <w:t>i</w:t>
      </w:r>
      <w:r w:rsidR="00613CE7">
        <w:rPr>
          <w:rFonts w:cs="Arial"/>
        </w:rPr>
        <w:t xml:space="preserve"> se za </w:t>
      </w:r>
      <w:r w:rsidR="001474AE">
        <w:rPr>
          <w:rFonts w:cs="Arial"/>
        </w:rPr>
        <w:t xml:space="preserve">vse </w:t>
      </w:r>
      <w:r w:rsidR="00613CE7">
        <w:rPr>
          <w:rFonts w:cs="Arial"/>
        </w:rPr>
        <w:t xml:space="preserve">modele </w:t>
      </w:r>
      <w:r w:rsidR="001474AE">
        <w:rPr>
          <w:rFonts w:cs="Arial"/>
        </w:rPr>
        <w:t xml:space="preserve">vrednotenja </w:t>
      </w:r>
      <w:r w:rsidR="00613CE7">
        <w:rPr>
          <w:rFonts w:cs="Arial"/>
        </w:rPr>
        <w:t>iz pr</w:t>
      </w:r>
      <w:r w:rsidR="001474AE">
        <w:rPr>
          <w:rFonts w:cs="Arial"/>
        </w:rPr>
        <w:t xml:space="preserve">ejšnjega </w:t>
      </w:r>
      <w:r w:rsidR="00613CE7">
        <w:rPr>
          <w:rFonts w:cs="Arial"/>
        </w:rPr>
        <w:t xml:space="preserve">člena </w:t>
      </w:r>
      <w:r w:rsidR="005320D2">
        <w:rPr>
          <w:rFonts w:cs="Arial"/>
        </w:rPr>
        <w:t>pridobi podat</w:t>
      </w:r>
      <w:r w:rsidR="00E82E1E">
        <w:rPr>
          <w:rFonts w:cs="Arial"/>
        </w:rPr>
        <w:t>ke</w:t>
      </w:r>
      <w:r w:rsidR="005320D2">
        <w:rPr>
          <w:rFonts w:cs="Arial"/>
        </w:rPr>
        <w:t xml:space="preserve"> o parcelah, </w:t>
      </w:r>
      <w:r w:rsidR="00613CE7">
        <w:rPr>
          <w:rFonts w:cs="Arial"/>
        </w:rPr>
        <w:t>stavbah</w:t>
      </w:r>
      <w:r w:rsidR="005320D2">
        <w:rPr>
          <w:rFonts w:cs="Arial"/>
        </w:rPr>
        <w:t xml:space="preserve"> in delih stavb</w:t>
      </w:r>
      <w:r w:rsidR="00613CE7">
        <w:rPr>
          <w:rFonts w:cs="Arial"/>
        </w:rPr>
        <w:t xml:space="preserve">, ki </w:t>
      </w:r>
      <w:r w:rsidR="005320D2">
        <w:rPr>
          <w:rFonts w:cs="Arial"/>
        </w:rPr>
        <w:t>sestavljajo posebno enoto vrednotenja</w:t>
      </w:r>
      <w:r w:rsidR="00500405">
        <w:rPr>
          <w:rFonts w:cs="Arial"/>
        </w:rPr>
        <w:t>, ter podatke o osebi, ki opravlja dejavnost</w:t>
      </w:r>
      <w:r w:rsidR="00613CE7">
        <w:rPr>
          <w:rFonts w:cs="Arial"/>
        </w:rPr>
        <w:t xml:space="preserve">. </w:t>
      </w:r>
    </w:p>
    <w:p w14:paraId="68DA827B" w14:textId="77777777" w:rsidR="00616AE7" w:rsidRDefault="00616AE7" w:rsidP="007E5725">
      <w:pPr>
        <w:spacing w:after="0" w:line="260" w:lineRule="atLeast"/>
        <w:jc w:val="both"/>
        <w:rPr>
          <w:rFonts w:cs="Arial"/>
        </w:rPr>
      </w:pPr>
    </w:p>
    <w:p w14:paraId="73037BFD" w14:textId="1BB83C74" w:rsidR="005320D2" w:rsidRDefault="005320D2" w:rsidP="007E5725">
      <w:pPr>
        <w:spacing w:after="0" w:line="260" w:lineRule="atLeast"/>
        <w:jc w:val="both"/>
        <w:rPr>
          <w:rFonts w:eastAsia="Times New Roman" w:cs="Arial"/>
          <w:lang w:eastAsia="sl-SI"/>
        </w:rPr>
      </w:pPr>
      <w:r>
        <w:rPr>
          <w:rFonts w:cs="Arial"/>
        </w:rPr>
        <w:t xml:space="preserve">(2) </w:t>
      </w:r>
      <w:r w:rsidR="00B122A3">
        <w:rPr>
          <w:rFonts w:eastAsia="Times New Roman" w:cs="Arial"/>
          <w:lang w:eastAsia="sl-SI"/>
        </w:rPr>
        <w:t>L</w:t>
      </w:r>
      <w:r>
        <w:rPr>
          <w:rFonts w:eastAsia="Times New Roman" w:cs="Arial"/>
          <w:lang w:eastAsia="sl-SI"/>
        </w:rPr>
        <w:t>okacij</w:t>
      </w:r>
      <w:r w:rsidR="00B122A3">
        <w:rPr>
          <w:rFonts w:eastAsia="Times New Roman" w:cs="Arial"/>
          <w:lang w:eastAsia="sl-SI"/>
        </w:rPr>
        <w:t>a</w:t>
      </w:r>
      <w:r>
        <w:rPr>
          <w:rFonts w:eastAsia="Times New Roman" w:cs="Arial"/>
          <w:lang w:eastAsia="sl-SI"/>
        </w:rPr>
        <w:t xml:space="preserve"> parcel, stavb in delov stavb </w:t>
      </w:r>
      <w:r w:rsidRPr="00391A28">
        <w:rPr>
          <w:rFonts w:eastAsia="Times New Roman" w:cs="Arial"/>
          <w:lang w:eastAsia="sl-SI"/>
        </w:rPr>
        <w:t xml:space="preserve">se </w:t>
      </w:r>
      <w:r w:rsidR="00B122A3">
        <w:rPr>
          <w:rFonts w:eastAsia="Times New Roman" w:cs="Arial"/>
          <w:lang w:eastAsia="sl-SI"/>
        </w:rPr>
        <w:t xml:space="preserve">opredeli z </w:t>
      </w:r>
      <w:r w:rsidRPr="00391A28">
        <w:rPr>
          <w:rFonts w:eastAsia="Times New Roman" w:cs="Arial"/>
          <w:lang w:eastAsia="sl-SI"/>
        </w:rPr>
        <w:t>identifikacijsk</w:t>
      </w:r>
      <w:r w:rsidR="00B122A3">
        <w:rPr>
          <w:rFonts w:eastAsia="Times New Roman" w:cs="Arial"/>
          <w:lang w:eastAsia="sl-SI"/>
        </w:rPr>
        <w:t xml:space="preserve">o številko </w:t>
      </w:r>
      <w:r w:rsidR="00A828E5">
        <w:rPr>
          <w:rFonts w:eastAsia="Times New Roman" w:cs="Arial"/>
          <w:lang w:eastAsia="sl-SI"/>
        </w:rPr>
        <w:t>parcele, stavbe ali dela stavbe, določeno  v skladu s predpisi o evidentiranju nepremičnin</w:t>
      </w:r>
      <w:r w:rsidRPr="00391A28">
        <w:rPr>
          <w:rFonts w:eastAsia="Times New Roman" w:cs="Arial"/>
          <w:lang w:eastAsia="sl-SI"/>
        </w:rPr>
        <w:t>.</w:t>
      </w:r>
    </w:p>
    <w:p w14:paraId="1D7506FB" w14:textId="77777777" w:rsidR="00616AE7" w:rsidRDefault="00616AE7" w:rsidP="007E5725">
      <w:pPr>
        <w:spacing w:after="0" w:line="260" w:lineRule="atLeast"/>
        <w:jc w:val="both"/>
        <w:rPr>
          <w:rFonts w:eastAsia="Times New Roman" w:cs="Arial"/>
          <w:lang w:eastAsia="sl-SI"/>
        </w:rPr>
      </w:pPr>
    </w:p>
    <w:p w14:paraId="67B89F68" w14:textId="79680D74" w:rsidR="00D3063D" w:rsidRDefault="00D3063D" w:rsidP="007E5725">
      <w:pPr>
        <w:spacing w:after="0" w:line="260" w:lineRule="atLeast"/>
        <w:jc w:val="both"/>
        <w:rPr>
          <w:rFonts w:eastAsia="Times New Roman" w:cs="Arial"/>
          <w:lang w:eastAsia="sl-SI"/>
        </w:rPr>
      </w:pPr>
      <w:r>
        <w:rPr>
          <w:rFonts w:eastAsia="Times New Roman" w:cs="Arial"/>
          <w:lang w:eastAsia="sl-SI"/>
        </w:rPr>
        <w:t xml:space="preserve">(3) </w:t>
      </w:r>
      <w:r w:rsidR="00BD0A9F">
        <w:rPr>
          <w:rFonts w:eastAsia="Times New Roman" w:cs="Arial"/>
          <w:lang w:eastAsia="sl-SI"/>
        </w:rPr>
        <w:t>Vsaki parceli in vsakemu delu stavbe se določi delež</w:t>
      </w:r>
      <w:r w:rsidR="0044570B">
        <w:rPr>
          <w:rFonts w:eastAsia="Times New Roman" w:cs="Arial"/>
          <w:lang w:eastAsia="sl-SI"/>
        </w:rPr>
        <w:t xml:space="preserve"> v obliki površine</w:t>
      </w:r>
      <w:r w:rsidR="00BD0A9F">
        <w:rPr>
          <w:rFonts w:eastAsia="Times New Roman" w:cs="Arial"/>
          <w:lang w:eastAsia="sl-SI"/>
        </w:rPr>
        <w:t>, ki pripada posebni enoti vrednotenja.</w:t>
      </w:r>
    </w:p>
    <w:p w14:paraId="5A4D84C0" w14:textId="77777777" w:rsidR="00500405" w:rsidRDefault="00500405" w:rsidP="007E5725">
      <w:pPr>
        <w:spacing w:after="0" w:line="260" w:lineRule="atLeast"/>
        <w:jc w:val="both"/>
        <w:rPr>
          <w:rFonts w:eastAsia="Times New Roman" w:cs="Arial"/>
          <w:lang w:eastAsia="sl-SI"/>
        </w:rPr>
      </w:pPr>
    </w:p>
    <w:p w14:paraId="6AEA8DF8" w14:textId="44CBE61A" w:rsidR="00500405" w:rsidRDefault="00500405" w:rsidP="007E5725">
      <w:pPr>
        <w:spacing w:after="0" w:line="260" w:lineRule="atLeast"/>
        <w:jc w:val="both"/>
        <w:rPr>
          <w:rFonts w:eastAsia="Times New Roman" w:cs="Arial"/>
          <w:lang w:eastAsia="sl-SI"/>
        </w:rPr>
      </w:pPr>
      <w:r>
        <w:rPr>
          <w:rFonts w:eastAsia="Times New Roman" w:cs="Arial"/>
          <w:lang w:eastAsia="sl-SI"/>
        </w:rPr>
        <w:t xml:space="preserve">(4) Kot podatki o osebi, ki opravlja dejavnost, se za fizične osebe zberejo </w:t>
      </w:r>
      <w:r w:rsidRPr="00D23D35">
        <w:rPr>
          <w:rFonts w:eastAsia="Times New Roman" w:cs="Arial"/>
          <w:lang w:eastAsia="sl-SI"/>
        </w:rPr>
        <w:t>osebno ime, EMŠO, naslov stalnega prebivališča in naslov za vročanje</w:t>
      </w:r>
      <w:r>
        <w:rPr>
          <w:rFonts w:eastAsia="Times New Roman" w:cs="Arial"/>
          <w:lang w:eastAsia="sl-SI"/>
        </w:rPr>
        <w:t>, za pravne osebe pa se zberejo ime, matična številka in naslov.</w:t>
      </w:r>
    </w:p>
    <w:p w14:paraId="0C416D41" w14:textId="77777777" w:rsidR="00D23D35" w:rsidRDefault="00D23D35" w:rsidP="007E5725">
      <w:pPr>
        <w:spacing w:after="0" w:line="260" w:lineRule="atLeast"/>
        <w:jc w:val="both"/>
        <w:rPr>
          <w:rFonts w:cs="Arial"/>
        </w:rPr>
      </w:pPr>
    </w:p>
    <w:p w14:paraId="2DD6F593" w14:textId="1B1E6929" w:rsidR="00613CE7" w:rsidRPr="007E5725" w:rsidRDefault="00613CE7" w:rsidP="007E5725">
      <w:pPr>
        <w:spacing w:after="0" w:line="260" w:lineRule="atLeast"/>
        <w:jc w:val="center"/>
        <w:rPr>
          <w:rFonts w:cs="Arial"/>
          <w:b/>
        </w:rPr>
      </w:pPr>
      <w:r w:rsidRPr="007E5725">
        <w:rPr>
          <w:rFonts w:cs="Arial"/>
          <w:b/>
        </w:rPr>
        <w:t>3. člen</w:t>
      </w:r>
    </w:p>
    <w:p w14:paraId="5D25B716" w14:textId="77777777" w:rsidR="007E5725" w:rsidRDefault="007E5725" w:rsidP="007E5725">
      <w:pPr>
        <w:spacing w:after="0" w:line="260" w:lineRule="atLeast"/>
        <w:jc w:val="both"/>
        <w:rPr>
          <w:rFonts w:eastAsia="Times New Roman" w:cs="Arial"/>
          <w:lang w:eastAsia="sl-SI"/>
        </w:rPr>
      </w:pPr>
    </w:p>
    <w:p w14:paraId="2A97CC5D" w14:textId="77777777" w:rsidR="00916389" w:rsidRPr="00613CE7" w:rsidRDefault="00613CE7" w:rsidP="007E5725">
      <w:pPr>
        <w:spacing w:after="0" w:line="260" w:lineRule="atLeast"/>
        <w:jc w:val="both"/>
        <w:rPr>
          <w:rFonts w:eastAsia="Times New Roman" w:cs="Arial"/>
          <w:lang w:eastAsia="sl-SI"/>
        </w:rPr>
      </w:pPr>
      <w:r w:rsidRPr="00613CE7">
        <w:rPr>
          <w:rFonts w:eastAsia="Times New Roman" w:cs="Arial"/>
          <w:lang w:eastAsia="sl-SI"/>
        </w:rPr>
        <w:t xml:space="preserve">(1) Za </w:t>
      </w:r>
      <w:r>
        <w:rPr>
          <w:rFonts w:eastAsia="Times New Roman" w:cs="Arial"/>
          <w:lang w:eastAsia="sl-SI"/>
        </w:rPr>
        <w:t>model za elektrarne</w:t>
      </w:r>
      <w:r w:rsidR="00485B89">
        <w:rPr>
          <w:rFonts w:eastAsia="Times New Roman" w:cs="Arial"/>
          <w:lang w:eastAsia="sl-SI"/>
        </w:rPr>
        <w:t xml:space="preserve"> (PNE)</w:t>
      </w:r>
      <w:r>
        <w:rPr>
          <w:rFonts w:eastAsia="Times New Roman" w:cs="Arial"/>
          <w:lang w:eastAsia="sl-SI"/>
        </w:rPr>
        <w:t xml:space="preserve"> </w:t>
      </w:r>
      <w:r w:rsidRPr="00613CE7">
        <w:rPr>
          <w:rFonts w:eastAsia="Times New Roman" w:cs="Arial"/>
          <w:lang w:eastAsia="sl-SI"/>
        </w:rPr>
        <w:t>se z vprašalnikom pridobijo naslednji podatki:</w:t>
      </w:r>
    </w:p>
    <w:p w14:paraId="230E2D7B" w14:textId="5DAFB732" w:rsidR="00482890" w:rsidRPr="00D23D35" w:rsidRDefault="00482890" w:rsidP="007E5725">
      <w:pPr>
        <w:spacing w:after="0" w:line="260" w:lineRule="atLeast"/>
        <w:ind w:left="567" w:hanging="426"/>
        <w:jc w:val="both"/>
        <w:rPr>
          <w:rFonts w:eastAsia="Times New Roman" w:cs="Arial"/>
          <w:lang w:eastAsia="sl-SI"/>
        </w:rPr>
      </w:pPr>
      <w:r w:rsidRPr="00D23D35">
        <w:rPr>
          <w:rFonts w:eastAsia="Times New Roman" w:cs="Arial"/>
          <w:lang w:eastAsia="sl-SI"/>
        </w:rPr>
        <w:t>-</w:t>
      </w:r>
      <w:r w:rsidRPr="00D23D35">
        <w:rPr>
          <w:rFonts w:ascii="Times New Roman" w:eastAsia="Times New Roman" w:hAnsi="Times New Roman" w:cs="Times New Roman"/>
          <w:sz w:val="14"/>
          <w:szCs w:val="14"/>
          <w:lang w:eastAsia="sl-SI"/>
        </w:rPr>
        <w:t> </w:t>
      </w:r>
      <w:r w:rsidR="00D23D35">
        <w:rPr>
          <w:rFonts w:ascii="Times New Roman" w:eastAsia="Times New Roman" w:hAnsi="Times New Roman" w:cs="Times New Roman"/>
          <w:sz w:val="14"/>
          <w:szCs w:val="14"/>
          <w:lang w:eastAsia="sl-SI"/>
        </w:rPr>
        <w:tab/>
      </w:r>
      <w:r w:rsidRPr="00D23D35">
        <w:rPr>
          <w:rFonts w:eastAsia="Times New Roman" w:cs="Arial"/>
          <w:lang w:eastAsia="sl-SI"/>
        </w:rPr>
        <w:t>oznaka merilnega mesta,</w:t>
      </w:r>
    </w:p>
    <w:p w14:paraId="71F39B9A" w14:textId="3913E523" w:rsidR="00ED3503" w:rsidRPr="00D23D35" w:rsidRDefault="00ED3503" w:rsidP="007E5725">
      <w:pPr>
        <w:spacing w:after="0" w:line="260" w:lineRule="atLeast"/>
        <w:ind w:left="567" w:hanging="426"/>
        <w:jc w:val="both"/>
        <w:rPr>
          <w:rFonts w:eastAsia="Times New Roman" w:cs="Arial"/>
          <w:lang w:eastAsia="sl-SI"/>
        </w:rPr>
      </w:pPr>
      <w:r w:rsidRPr="00D23D35">
        <w:rPr>
          <w:rFonts w:eastAsia="Times New Roman" w:cs="Arial"/>
          <w:lang w:eastAsia="sl-SI"/>
        </w:rPr>
        <w:t>-</w:t>
      </w:r>
      <w:r w:rsidRPr="00D23D35">
        <w:rPr>
          <w:rFonts w:ascii="Times New Roman" w:eastAsia="Times New Roman" w:hAnsi="Times New Roman" w:cs="Times New Roman"/>
          <w:sz w:val="14"/>
          <w:szCs w:val="14"/>
          <w:lang w:eastAsia="sl-SI"/>
        </w:rPr>
        <w:t> </w:t>
      </w:r>
      <w:r w:rsidR="00D23D35">
        <w:rPr>
          <w:rFonts w:ascii="Times New Roman" w:eastAsia="Times New Roman" w:hAnsi="Times New Roman" w:cs="Times New Roman"/>
          <w:sz w:val="14"/>
          <w:szCs w:val="14"/>
          <w:lang w:eastAsia="sl-SI"/>
        </w:rPr>
        <w:tab/>
      </w:r>
      <w:r w:rsidRPr="00D23D35">
        <w:rPr>
          <w:rFonts w:eastAsia="Times New Roman" w:cs="Arial"/>
          <w:lang w:eastAsia="sl-SI"/>
        </w:rPr>
        <w:t xml:space="preserve">delež </w:t>
      </w:r>
      <w:r w:rsidR="00653D2C" w:rsidRPr="00D23D35">
        <w:rPr>
          <w:rFonts w:eastAsia="Times New Roman" w:cs="Arial"/>
          <w:lang w:eastAsia="sl-SI"/>
        </w:rPr>
        <w:t>osebe, ki opravlja dejavnost</w:t>
      </w:r>
      <w:r w:rsidR="00BA19AC" w:rsidRPr="00D23D35">
        <w:rPr>
          <w:rFonts w:eastAsia="Times New Roman" w:cs="Arial"/>
          <w:lang w:eastAsia="sl-SI"/>
        </w:rPr>
        <w:t>,</w:t>
      </w:r>
    </w:p>
    <w:p w14:paraId="29A54D92" w14:textId="4B4A3FBD" w:rsidR="000F6C60" w:rsidRPr="00D23D35" w:rsidRDefault="000F6C60" w:rsidP="007E5725">
      <w:pPr>
        <w:spacing w:after="0" w:line="260" w:lineRule="atLeast"/>
        <w:ind w:left="567" w:hanging="426"/>
        <w:jc w:val="both"/>
        <w:rPr>
          <w:rFonts w:eastAsia="Times New Roman" w:cs="Arial"/>
          <w:lang w:eastAsia="sl-SI"/>
        </w:rPr>
      </w:pPr>
      <w:r w:rsidRPr="00D23D35">
        <w:rPr>
          <w:rFonts w:eastAsia="Times New Roman" w:cs="Arial"/>
          <w:lang w:eastAsia="sl-SI"/>
        </w:rPr>
        <w:t>-</w:t>
      </w:r>
      <w:r w:rsidR="00D23D35">
        <w:rPr>
          <w:rFonts w:eastAsia="Times New Roman" w:cs="Arial"/>
          <w:lang w:eastAsia="sl-SI"/>
        </w:rPr>
        <w:t xml:space="preserve"> </w:t>
      </w:r>
      <w:r w:rsidR="00D23D35">
        <w:rPr>
          <w:rFonts w:eastAsia="Times New Roman" w:cs="Arial"/>
          <w:lang w:eastAsia="sl-SI"/>
        </w:rPr>
        <w:tab/>
      </w:r>
      <w:r w:rsidRPr="00D23D35">
        <w:rPr>
          <w:rFonts w:eastAsia="Times New Roman" w:cs="Arial"/>
          <w:lang w:eastAsia="sl-SI"/>
        </w:rPr>
        <w:t>vrsta vira energije,</w:t>
      </w:r>
    </w:p>
    <w:p w14:paraId="459D9FCC" w14:textId="7A7C0F32" w:rsidR="007618C8" w:rsidRPr="00D23D35" w:rsidRDefault="007618C8" w:rsidP="007E5725">
      <w:pPr>
        <w:spacing w:after="0" w:line="260" w:lineRule="atLeast"/>
        <w:ind w:left="567" w:hanging="426"/>
        <w:jc w:val="both"/>
        <w:rPr>
          <w:rFonts w:eastAsia="Times New Roman" w:cs="Arial"/>
          <w:lang w:eastAsia="sl-SI"/>
        </w:rPr>
      </w:pPr>
      <w:r w:rsidRPr="00D23D35">
        <w:rPr>
          <w:rFonts w:eastAsia="Times New Roman" w:cs="Arial"/>
          <w:lang w:eastAsia="sl-SI"/>
        </w:rPr>
        <w:t xml:space="preserve">- </w:t>
      </w:r>
      <w:r w:rsidR="00D23D35">
        <w:rPr>
          <w:rFonts w:eastAsia="Times New Roman" w:cs="Arial"/>
          <w:lang w:eastAsia="sl-SI"/>
        </w:rPr>
        <w:tab/>
      </w:r>
      <w:r w:rsidRPr="00D23D35">
        <w:rPr>
          <w:rFonts w:eastAsia="Times New Roman" w:cs="Arial"/>
          <w:lang w:eastAsia="sl-SI"/>
        </w:rPr>
        <w:t>električna moč na pragu elektrarne,</w:t>
      </w:r>
    </w:p>
    <w:p w14:paraId="56614551" w14:textId="045FF3B1" w:rsidR="00127ABF" w:rsidRPr="00D23D35" w:rsidRDefault="007618C8" w:rsidP="007E5725">
      <w:pPr>
        <w:spacing w:after="0" w:line="260" w:lineRule="atLeast"/>
        <w:ind w:left="567" w:hanging="426"/>
        <w:jc w:val="both"/>
        <w:rPr>
          <w:rFonts w:eastAsia="Times New Roman" w:cs="Arial"/>
          <w:lang w:eastAsia="sl-SI"/>
        </w:rPr>
      </w:pPr>
      <w:r w:rsidRPr="00D23D35">
        <w:rPr>
          <w:rFonts w:eastAsia="Times New Roman" w:cs="Arial"/>
          <w:lang w:eastAsia="sl-SI"/>
        </w:rPr>
        <w:t xml:space="preserve">- </w:t>
      </w:r>
      <w:r w:rsidR="00D23D35">
        <w:rPr>
          <w:rFonts w:eastAsia="Times New Roman" w:cs="Arial"/>
          <w:lang w:eastAsia="sl-SI"/>
        </w:rPr>
        <w:tab/>
      </w:r>
      <w:r w:rsidRPr="00D23D35">
        <w:rPr>
          <w:rFonts w:eastAsia="Times New Roman" w:cs="Arial"/>
          <w:lang w:eastAsia="sl-SI"/>
        </w:rPr>
        <w:t>toplotna moč na pragu elektrarne, če elektrarna soproizvaja ogrevno toploto ali tehnološko paro,</w:t>
      </w:r>
    </w:p>
    <w:p w14:paraId="415890A7" w14:textId="701490F5" w:rsidR="00613CE7" w:rsidRPr="00D23D35" w:rsidRDefault="00613CE7" w:rsidP="007E5725">
      <w:pPr>
        <w:spacing w:after="0" w:line="260" w:lineRule="atLeast"/>
        <w:ind w:left="567" w:hanging="426"/>
        <w:jc w:val="both"/>
        <w:rPr>
          <w:rFonts w:eastAsia="Times New Roman" w:cs="Arial"/>
          <w:lang w:eastAsia="sl-SI"/>
        </w:rPr>
      </w:pPr>
      <w:r w:rsidRPr="00D23D35">
        <w:rPr>
          <w:rFonts w:eastAsia="Times New Roman" w:cs="Arial"/>
          <w:lang w:eastAsia="sl-SI"/>
        </w:rPr>
        <w:t>-</w:t>
      </w:r>
      <w:r w:rsidRPr="00D23D35">
        <w:rPr>
          <w:rFonts w:ascii="Times New Roman" w:eastAsia="Times New Roman" w:hAnsi="Times New Roman" w:cs="Times New Roman"/>
          <w:sz w:val="14"/>
          <w:szCs w:val="14"/>
          <w:lang w:eastAsia="sl-SI"/>
        </w:rPr>
        <w:t> </w:t>
      </w:r>
      <w:r w:rsidR="00D23D35">
        <w:rPr>
          <w:rFonts w:ascii="Times New Roman" w:eastAsia="Times New Roman" w:hAnsi="Times New Roman" w:cs="Times New Roman"/>
          <w:sz w:val="14"/>
          <w:szCs w:val="14"/>
          <w:lang w:eastAsia="sl-SI"/>
        </w:rPr>
        <w:tab/>
      </w:r>
      <w:r w:rsidRPr="00D23D35">
        <w:rPr>
          <w:rFonts w:eastAsia="Times New Roman" w:cs="Arial"/>
          <w:lang w:eastAsia="sl-SI"/>
        </w:rPr>
        <w:t>prihodki od prodaje električne energije in sistemskih storitev,</w:t>
      </w:r>
    </w:p>
    <w:p w14:paraId="7DB2397F" w14:textId="600A0807" w:rsidR="00AA2A97" w:rsidRPr="00D23D35" w:rsidRDefault="00613CE7" w:rsidP="007E5725">
      <w:pPr>
        <w:spacing w:after="0" w:line="260" w:lineRule="atLeast"/>
        <w:ind w:left="567" w:hanging="426"/>
        <w:jc w:val="both"/>
        <w:rPr>
          <w:rFonts w:eastAsia="Times New Roman" w:cs="Arial"/>
          <w:lang w:eastAsia="sl-SI"/>
        </w:rPr>
      </w:pPr>
      <w:r w:rsidRPr="00D23D35">
        <w:rPr>
          <w:rFonts w:eastAsia="Times New Roman" w:cs="Arial"/>
          <w:lang w:eastAsia="sl-SI"/>
        </w:rPr>
        <w:t>-</w:t>
      </w:r>
      <w:r w:rsidRPr="00D23D35">
        <w:rPr>
          <w:rFonts w:ascii="Times New Roman" w:eastAsia="Times New Roman" w:hAnsi="Times New Roman" w:cs="Times New Roman"/>
          <w:sz w:val="14"/>
          <w:szCs w:val="14"/>
          <w:lang w:eastAsia="sl-SI"/>
        </w:rPr>
        <w:t> </w:t>
      </w:r>
      <w:r w:rsidR="00D23D35">
        <w:rPr>
          <w:rFonts w:ascii="Times New Roman" w:eastAsia="Times New Roman" w:hAnsi="Times New Roman" w:cs="Times New Roman"/>
          <w:sz w:val="14"/>
          <w:szCs w:val="14"/>
          <w:lang w:eastAsia="sl-SI"/>
        </w:rPr>
        <w:tab/>
      </w:r>
      <w:r w:rsidR="00AA2A97" w:rsidRPr="00D23D35">
        <w:rPr>
          <w:rFonts w:eastAsia="Times New Roman" w:cs="Arial"/>
          <w:lang w:eastAsia="sl-SI"/>
        </w:rPr>
        <w:t>količina proizvedene električne energije na pragu,</w:t>
      </w:r>
    </w:p>
    <w:p w14:paraId="008C3FFA" w14:textId="4B9DA306" w:rsidR="00AA2A97" w:rsidRPr="00D23D35" w:rsidRDefault="00482890" w:rsidP="007E5725">
      <w:pPr>
        <w:spacing w:after="0" w:line="260" w:lineRule="atLeast"/>
        <w:ind w:left="567" w:hanging="426"/>
        <w:jc w:val="both"/>
        <w:rPr>
          <w:rFonts w:ascii="Times New Roman" w:eastAsia="Times New Roman" w:hAnsi="Times New Roman" w:cs="Times New Roman"/>
          <w:sz w:val="14"/>
          <w:szCs w:val="14"/>
          <w:lang w:eastAsia="sl-SI"/>
        </w:rPr>
      </w:pPr>
      <w:r w:rsidRPr="00D23D35">
        <w:rPr>
          <w:rFonts w:eastAsia="Times New Roman" w:cs="Arial"/>
          <w:lang w:eastAsia="sl-SI"/>
        </w:rPr>
        <w:t>-</w:t>
      </w:r>
      <w:r w:rsidRPr="00D23D35">
        <w:rPr>
          <w:rFonts w:ascii="Times New Roman" w:eastAsia="Times New Roman" w:hAnsi="Times New Roman" w:cs="Times New Roman"/>
          <w:sz w:val="14"/>
          <w:szCs w:val="14"/>
          <w:lang w:eastAsia="sl-SI"/>
        </w:rPr>
        <w:t> </w:t>
      </w:r>
      <w:r w:rsidR="00D23D35">
        <w:rPr>
          <w:rFonts w:ascii="Times New Roman" w:eastAsia="Times New Roman" w:hAnsi="Times New Roman" w:cs="Times New Roman"/>
          <w:sz w:val="14"/>
          <w:szCs w:val="14"/>
          <w:lang w:eastAsia="sl-SI"/>
        </w:rPr>
        <w:tab/>
      </w:r>
      <w:r w:rsidR="00AA2A97" w:rsidRPr="00D23D35">
        <w:rPr>
          <w:rFonts w:eastAsia="Times New Roman" w:cs="Arial"/>
          <w:lang w:eastAsia="sl-SI"/>
        </w:rPr>
        <w:t xml:space="preserve">količina </w:t>
      </w:r>
      <w:r w:rsidRPr="00D23D35">
        <w:rPr>
          <w:rFonts w:eastAsia="Times New Roman" w:cs="Arial"/>
          <w:lang w:eastAsia="sl-SI"/>
        </w:rPr>
        <w:t>prodane rezerve delovne moči za sekundarno in terciarno regulacijo</w:t>
      </w:r>
      <w:r w:rsidR="00D23D35">
        <w:rPr>
          <w:rFonts w:eastAsia="Times New Roman" w:cs="Arial"/>
          <w:lang w:eastAsia="sl-SI"/>
        </w:rPr>
        <w:t xml:space="preserve"> </w:t>
      </w:r>
      <w:r w:rsidRPr="00D23D35">
        <w:rPr>
          <w:rFonts w:eastAsia="Times New Roman" w:cs="Arial"/>
          <w:lang w:eastAsia="sl-SI"/>
        </w:rPr>
        <w:t>frekvence</w:t>
      </w:r>
      <w:r w:rsidR="00CA4400" w:rsidRPr="00D23D35">
        <w:rPr>
          <w:rFonts w:eastAsia="Times New Roman" w:cs="Arial"/>
          <w:lang w:eastAsia="sl-SI"/>
        </w:rPr>
        <w:t>,</w:t>
      </w:r>
    </w:p>
    <w:p w14:paraId="57726527" w14:textId="79840DCB" w:rsidR="00653D2C" w:rsidRPr="00D23D35" w:rsidRDefault="00AA2A97" w:rsidP="007E5725">
      <w:pPr>
        <w:spacing w:after="0" w:line="260" w:lineRule="atLeast"/>
        <w:ind w:left="567" w:hanging="426"/>
        <w:jc w:val="both"/>
        <w:rPr>
          <w:rFonts w:eastAsia="Times New Roman" w:cs="Arial"/>
          <w:lang w:eastAsia="sl-SI"/>
        </w:rPr>
      </w:pPr>
      <w:r w:rsidRPr="00D23D35">
        <w:rPr>
          <w:rFonts w:eastAsia="Times New Roman" w:cs="Arial"/>
          <w:lang w:eastAsia="sl-SI"/>
        </w:rPr>
        <w:t>-</w:t>
      </w:r>
      <w:r w:rsidRPr="00D23D35">
        <w:rPr>
          <w:rFonts w:ascii="Times New Roman" w:eastAsia="Times New Roman" w:hAnsi="Times New Roman" w:cs="Times New Roman"/>
          <w:sz w:val="14"/>
          <w:szCs w:val="14"/>
          <w:lang w:eastAsia="sl-SI"/>
        </w:rPr>
        <w:t> </w:t>
      </w:r>
      <w:r w:rsidR="00D23D35">
        <w:rPr>
          <w:rFonts w:ascii="Times New Roman" w:eastAsia="Times New Roman" w:hAnsi="Times New Roman" w:cs="Times New Roman"/>
          <w:sz w:val="14"/>
          <w:szCs w:val="14"/>
          <w:lang w:eastAsia="sl-SI"/>
        </w:rPr>
        <w:tab/>
      </w:r>
      <w:r w:rsidRPr="00D23D35">
        <w:rPr>
          <w:rFonts w:eastAsia="Times New Roman" w:cs="Arial"/>
          <w:lang w:eastAsia="sl-SI"/>
        </w:rPr>
        <w:t>c</w:t>
      </w:r>
      <w:r w:rsidR="00613CE7" w:rsidRPr="00D23D35">
        <w:rPr>
          <w:rFonts w:eastAsia="Times New Roman" w:cs="Arial"/>
          <w:lang w:eastAsia="sl-SI"/>
        </w:rPr>
        <w:t>ena prodane električne energije</w:t>
      </w:r>
      <w:r w:rsidR="00D25CE0" w:rsidRPr="00D23D35">
        <w:rPr>
          <w:rFonts w:eastAsia="Times New Roman" w:cs="Arial"/>
          <w:lang w:eastAsia="sl-SI"/>
        </w:rPr>
        <w:t xml:space="preserve"> na enoto</w:t>
      </w:r>
      <w:bookmarkStart w:id="0" w:name="_GoBack"/>
      <w:bookmarkEnd w:id="0"/>
      <w:r w:rsidR="00D25CE0" w:rsidRPr="00D23D35">
        <w:rPr>
          <w:rFonts w:eastAsia="Times New Roman" w:cs="Arial"/>
          <w:lang w:eastAsia="sl-SI"/>
        </w:rPr>
        <w:t xml:space="preserve">, </w:t>
      </w:r>
    </w:p>
    <w:p w14:paraId="1F7F1637" w14:textId="5A12252C" w:rsidR="00613CE7" w:rsidRPr="00D23D35" w:rsidRDefault="00653D2C" w:rsidP="007E5725">
      <w:pPr>
        <w:spacing w:after="0" w:line="260" w:lineRule="atLeast"/>
        <w:ind w:left="567" w:hanging="426"/>
        <w:jc w:val="both"/>
        <w:rPr>
          <w:rFonts w:eastAsia="Times New Roman" w:cs="Arial"/>
          <w:lang w:eastAsia="sl-SI"/>
        </w:rPr>
      </w:pPr>
      <w:r w:rsidRPr="00D23D35">
        <w:rPr>
          <w:rFonts w:eastAsia="Times New Roman" w:cs="Arial"/>
          <w:lang w:eastAsia="sl-SI"/>
        </w:rPr>
        <w:t xml:space="preserve">- </w:t>
      </w:r>
      <w:r w:rsidR="00D23D35">
        <w:rPr>
          <w:rFonts w:eastAsia="Times New Roman" w:cs="Arial"/>
          <w:lang w:eastAsia="sl-SI"/>
        </w:rPr>
        <w:tab/>
      </w:r>
      <w:r w:rsidR="00D25CE0" w:rsidRPr="00D23D35">
        <w:rPr>
          <w:rFonts w:eastAsia="Times New Roman" w:cs="Arial"/>
          <w:lang w:eastAsia="sl-SI"/>
        </w:rPr>
        <w:t>podatki o prejetih podporah</w:t>
      </w:r>
      <w:r w:rsidR="00613CE7" w:rsidRPr="00D23D35">
        <w:rPr>
          <w:rFonts w:eastAsia="Times New Roman" w:cs="Arial"/>
          <w:lang w:eastAsia="sl-SI"/>
        </w:rPr>
        <w:t>,</w:t>
      </w:r>
    </w:p>
    <w:p w14:paraId="6983FEE4" w14:textId="0528EFB7" w:rsidR="00613CE7" w:rsidRPr="00D23D35" w:rsidRDefault="00613CE7" w:rsidP="007E5725">
      <w:pPr>
        <w:spacing w:after="0" w:line="260" w:lineRule="atLeast"/>
        <w:ind w:left="567" w:hanging="426"/>
        <w:jc w:val="both"/>
        <w:rPr>
          <w:rFonts w:eastAsia="Times New Roman" w:cs="Arial"/>
          <w:lang w:eastAsia="sl-SI"/>
        </w:rPr>
      </w:pPr>
      <w:r w:rsidRPr="00D23D35">
        <w:rPr>
          <w:rFonts w:eastAsia="Times New Roman" w:cs="Arial"/>
          <w:lang w:eastAsia="sl-SI"/>
        </w:rPr>
        <w:t>-</w:t>
      </w:r>
      <w:r w:rsidRPr="00D23D35">
        <w:rPr>
          <w:rFonts w:ascii="Times New Roman" w:eastAsia="Times New Roman" w:hAnsi="Times New Roman" w:cs="Times New Roman"/>
          <w:sz w:val="14"/>
          <w:szCs w:val="14"/>
          <w:lang w:eastAsia="sl-SI"/>
        </w:rPr>
        <w:t> </w:t>
      </w:r>
      <w:r w:rsidR="00D23D35">
        <w:rPr>
          <w:rFonts w:ascii="Times New Roman" w:eastAsia="Times New Roman" w:hAnsi="Times New Roman" w:cs="Times New Roman"/>
          <w:sz w:val="14"/>
          <w:szCs w:val="14"/>
          <w:lang w:eastAsia="sl-SI"/>
        </w:rPr>
        <w:tab/>
      </w:r>
      <w:r w:rsidRPr="00D23D35">
        <w:rPr>
          <w:rFonts w:eastAsia="Times New Roman" w:cs="Arial"/>
          <w:lang w:eastAsia="sl-SI"/>
        </w:rPr>
        <w:t>stroški</w:t>
      </w:r>
      <w:r w:rsidR="002C613C" w:rsidRPr="00D23D35">
        <w:rPr>
          <w:rFonts w:eastAsia="Times New Roman" w:cs="Arial"/>
          <w:lang w:eastAsia="sl-SI"/>
        </w:rPr>
        <w:t xml:space="preserve"> materiala, storitev in dela</w:t>
      </w:r>
      <w:r w:rsidRPr="00D23D35">
        <w:rPr>
          <w:rFonts w:eastAsia="Times New Roman" w:cs="Arial"/>
          <w:lang w:eastAsia="sl-SI"/>
        </w:rPr>
        <w:t>, povezani s proizvodnjo električne energije,</w:t>
      </w:r>
    </w:p>
    <w:p w14:paraId="07D65E0A" w14:textId="0E80F415" w:rsidR="00192734" w:rsidRPr="00D23D35" w:rsidRDefault="00613CE7" w:rsidP="007E5725">
      <w:pPr>
        <w:spacing w:after="0" w:line="260" w:lineRule="atLeast"/>
        <w:ind w:left="567" w:hanging="426"/>
        <w:jc w:val="both"/>
        <w:rPr>
          <w:rFonts w:eastAsia="Times New Roman" w:cs="Arial"/>
          <w:lang w:eastAsia="sl-SI"/>
        </w:rPr>
      </w:pPr>
      <w:r w:rsidRPr="00D23D35">
        <w:rPr>
          <w:rFonts w:eastAsia="Times New Roman" w:cs="Arial"/>
          <w:lang w:eastAsia="sl-SI"/>
        </w:rPr>
        <w:t>-</w:t>
      </w:r>
      <w:r w:rsidRPr="00D23D35">
        <w:rPr>
          <w:rFonts w:ascii="Times New Roman" w:eastAsia="Times New Roman" w:hAnsi="Times New Roman" w:cs="Times New Roman"/>
          <w:sz w:val="14"/>
          <w:szCs w:val="14"/>
          <w:lang w:eastAsia="sl-SI"/>
        </w:rPr>
        <w:t> </w:t>
      </w:r>
      <w:r w:rsidR="00D23D35">
        <w:rPr>
          <w:rFonts w:ascii="Times New Roman" w:eastAsia="Times New Roman" w:hAnsi="Times New Roman" w:cs="Times New Roman"/>
          <w:sz w:val="14"/>
          <w:szCs w:val="14"/>
          <w:lang w:eastAsia="sl-SI"/>
        </w:rPr>
        <w:tab/>
      </w:r>
      <w:r w:rsidR="00192734" w:rsidRPr="00D23D35">
        <w:rPr>
          <w:rFonts w:eastAsia="Times New Roman" w:cs="Arial"/>
          <w:lang w:eastAsia="sl-SI"/>
        </w:rPr>
        <w:t>stroški dajatev</w:t>
      </w:r>
      <w:r w:rsidR="00231F5E" w:rsidRPr="00D23D35">
        <w:rPr>
          <w:rFonts w:eastAsia="Times New Roman" w:cs="Arial"/>
          <w:lang w:eastAsia="sl-SI"/>
        </w:rPr>
        <w:t xml:space="preserve"> in drugi stroški, povezani</w:t>
      </w:r>
      <w:r w:rsidR="00192734" w:rsidRPr="00D23D35">
        <w:rPr>
          <w:rFonts w:eastAsia="Times New Roman" w:cs="Arial"/>
          <w:lang w:eastAsia="sl-SI"/>
        </w:rPr>
        <w:t xml:space="preserve"> s proizvodnjo električne energije,</w:t>
      </w:r>
    </w:p>
    <w:p w14:paraId="16C87E4F" w14:textId="042090BD" w:rsidR="00127ABF" w:rsidRPr="00D23D35" w:rsidRDefault="00BC292B" w:rsidP="007E5725">
      <w:pPr>
        <w:spacing w:after="0" w:line="260" w:lineRule="atLeast"/>
        <w:ind w:left="567" w:hanging="426"/>
        <w:jc w:val="both"/>
        <w:rPr>
          <w:rFonts w:eastAsia="Times New Roman" w:cs="Arial"/>
          <w:lang w:eastAsia="sl-SI"/>
        </w:rPr>
      </w:pPr>
      <w:r w:rsidRPr="00D23D35">
        <w:rPr>
          <w:rFonts w:eastAsia="Times New Roman" w:cs="Arial"/>
          <w:lang w:eastAsia="sl-SI"/>
        </w:rPr>
        <w:t xml:space="preserve">- </w:t>
      </w:r>
      <w:r w:rsidR="00D23D35">
        <w:rPr>
          <w:rFonts w:eastAsia="Times New Roman" w:cs="Arial"/>
          <w:lang w:eastAsia="sl-SI"/>
        </w:rPr>
        <w:tab/>
      </w:r>
      <w:r w:rsidRPr="00D23D35">
        <w:rPr>
          <w:rFonts w:eastAsia="Times New Roman" w:cs="Arial"/>
          <w:lang w:eastAsia="sl-SI"/>
        </w:rPr>
        <w:t>podatki o življenjski dobi</w:t>
      </w:r>
      <w:r w:rsidR="009E07D2" w:rsidRPr="00D23D35">
        <w:rPr>
          <w:rFonts w:eastAsia="Times New Roman" w:cs="Arial"/>
          <w:lang w:eastAsia="sl-SI"/>
        </w:rPr>
        <w:t xml:space="preserve">, obnovah in nadgradnjah </w:t>
      </w:r>
      <w:r w:rsidRPr="00D23D35">
        <w:rPr>
          <w:rFonts w:eastAsia="Times New Roman" w:cs="Arial"/>
          <w:lang w:eastAsia="sl-SI"/>
        </w:rPr>
        <w:t>elektrarne</w:t>
      </w:r>
      <w:r w:rsidR="00127ABF" w:rsidRPr="00D23D35">
        <w:rPr>
          <w:rFonts w:eastAsia="Times New Roman" w:cs="Arial"/>
          <w:lang w:eastAsia="sl-SI"/>
        </w:rPr>
        <w:t>,</w:t>
      </w:r>
    </w:p>
    <w:p w14:paraId="3F83296B" w14:textId="705D6498" w:rsidR="00BC292B" w:rsidRPr="00D23D35" w:rsidRDefault="00127ABF" w:rsidP="007E5725">
      <w:pPr>
        <w:spacing w:after="0" w:line="260" w:lineRule="atLeast"/>
        <w:ind w:left="567" w:hanging="426"/>
        <w:jc w:val="both"/>
        <w:rPr>
          <w:rFonts w:eastAsia="Times New Roman" w:cs="Arial"/>
          <w:lang w:eastAsia="sl-SI"/>
        </w:rPr>
      </w:pPr>
      <w:r w:rsidRPr="00D23D35">
        <w:rPr>
          <w:rFonts w:eastAsia="Times New Roman" w:cs="Arial"/>
          <w:lang w:eastAsia="sl-SI"/>
        </w:rPr>
        <w:t xml:space="preserve">- </w:t>
      </w:r>
      <w:r w:rsidR="00D23D35">
        <w:rPr>
          <w:rFonts w:eastAsia="Times New Roman" w:cs="Arial"/>
          <w:lang w:eastAsia="sl-SI"/>
        </w:rPr>
        <w:tab/>
      </w:r>
      <w:r w:rsidRPr="00D23D35">
        <w:rPr>
          <w:rFonts w:eastAsia="Times New Roman" w:cs="Arial"/>
          <w:lang w:eastAsia="sl-SI"/>
        </w:rPr>
        <w:t>podatki o električni in toplotni moči, življenjski dobi, obnovah in nadgradnjah</w:t>
      </w:r>
      <w:r w:rsidR="001549FC" w:rsidRPr="00D23D35">
        <w:rPr>
          <w:rFonts w:eastAsia="Times New Roman" w:cs="Arial"/>
          <w:lang w:eastAsia="sl-SI"/>
        </w:rPr>
        <w:t xml:space="preserve"> za vsak blok</w:t>
      </w:r>
      <w:r w:rsidRPr="00D23D35">
        <w:rPr>
          <w:rFonts w:eastAsia="Times New Roman" w:cs="Arial"/>
          <w:lang w:eastAsia="sl-SI"/>
        </w:rPr>
        <w:t>, če ima elektrarna več kot en blok</w:t>
      </w:r>
      <w:r w:rsidR="009E07D2" w:rsidRPr="00D23D35">
        <w:rPr>
          <w:rFonts w:eastAsia="Times New Roman" w:cs="Arial"/>
          <w:lang w:eastAsia="sl-SI"/>
        </w:rPr>
        <w:t>.</w:t>
      </w:r>
    </w:p>
    <w:p w14:paraId="25D8CEFB" w14:textId="3902389D" w:rsidR="004B0E79" w:rsidRDefault="004B0E79" w:rsidP="007E5725">
      <w:pPr>
        <w:pStyle w:val="Odstavekseznama"/>
        <w:spacing w:after="0" w:line="260" w:lineRule="atLeast"/>
        <w:ind w:left="644"/>
        <w:jc w:val="both"/>
        <w:rPr>
          <w:rFonts w:eastAsia="Times New Roman" w:cs="Arial"/>
          <w:lang w:eastAsia="sl-SI"/>
        </w:rPr>
      </w:pPr>
    </w:p>
    <w:p w14:paraId="525BB5D3" w14:textId="430B3252" w:rsidR="00582934" w:rsidRPr="00D23D35" w:rsidRDefault="00BC292B" w:rsidP="00500405">
      <w:pPr>
        <w:spacing w:after="0" w:line="260" w:lineRule="atLeast"/>
        <w:jc w:val="both"/>
        <w:rPr>
          <w:rFonts w:eastAsia="Times New Roman" w:cs="Arial"/>
          <w:lang w:eastAsia="sl-SI"/>
        </w:rPr>
      </w:pPr>
      <w:r w:rsidDel="00AA2A97">
        <w:rPr>
          <w:rFonts w:eastAsia="Times New Roman" w:cs="Arial"/>
          <w:lang w:eastAsia="sl-SI"/>
        </w:rPr>
        <w:t xml:space="preserve"> </w:t>
      </w:r>
      <w:r w:rsidR="00613CE7">
        <w:rPr>
          <w:rFonts w:eastAsia="Times New Roman" w:cs="Arial"/>
          <w:lang w:eastAsia="sl-SI"/>
        </w:rPr>
        <w:t>(2</w:t>
      </w:r>
      <w:r w:rsidR="00613CE7" w:rsidRPr="00613CE7">
        <w:rPr>
          <w:rFonts w:eastAsia="Times New Roman" w:cs="Arial"/>
          <w:lang w:eastAsia="sl-SI"/>
        </w:rPr>
        <w:t xml:space="preserve">) Za </w:t>
      </w:r>
      <w:r w:rsidR="00613CE7">
        <w:rPr>
          <w:rFonts w:eastAsia="Times New Roman" w:cs="Arial"/>
          <w:lang w:eastAsia="sl-SI"/>
        </w:rPr>
        <w:t xml:space="preserve">model za </w:t>
      </w:r>
      <w:r w:rsidR="00613CE7" w:rsidRPr="00613CE7">
        <w:rPr>
          <w:rFonts w:eastAsia="Times New Roman" w:cs="Arial"/>
          <w:lang w:eastAsia="sl-SI"/>
        </w:rPr>
        <w:t xml:space="preserve">pristanišča </w:t>
      </w:r>
      <w:r w:rsidR="00613CE7">
        <w:rPr>
          <w:rFonts w:eastAsia="Times New Roman" w:cs="Arial"/>
          <w:lang w:eastAsia="sl-SI"/>
        </w:rPr>
        <w:t>(PNP)</w:t>
      </w:r>
      <w:r w:rsidR="00916389">
        <w:rPr>
          <w:rFonts w:eastAsia="Times New Roman" w:cs="Arial"/>
          <w:lang w:eastAsia="sl-SI"/>
        </w:rPr>
        <w:t xml:space="preserve"> </w:t>
      </w:r>
      <w:r w:rsidR="00613CE7" w:rsidRPr="00613CE7">
        <w:rPr>
          <w:rFonts w:eastAsia="Times New Roman" w:cs="Arial"/>
          <w:lang w:eastAsia="sl-SI"/>
        </w:rPr>
        <w:t>se z vprašalnikom pridobijo naslednji podatki:</w:t>
      </w:r>
    </w:p>
    <w:p w14:paraId="235B2F27" w14:textId="682088F7" w:rsidR="00211EAF" w:rsidRPr="00D23D35" w:rsidRDefault="00211EAF" w:rsidP="007E5725">
      <w:pPr>
        <w:spacing w:after="0" w:line="260" w:lineRule="atLeast"/>
        <w:ind w:left="567" w:hanging="421"/>
        <w:jc w:val="both"/>
        <w:rPr>
          <w:rFonts w:eastAsia="Times New Roman" w:cs="Arial"/>
          <w:lang w:eastAsia="sl-SI"/>
        </w:rPr>
      </w:pPr>
      <w:r w:rsidRPr="00D23D35">
        <w:rPr>
          <w:rFonts w:eastAsia="Times New Roman" w:cs="Arial"/>
          <w:lang w:eastAsia="sl-SI"/>
        </w:rPr>
        <w:t xml:space="preserve">- </w:t>
      </w:r>
      <w:r w:rsidR="00D23D35">
        <w:rPr>
          <w:rFonts w:eastAsia="Times New Roman" w:cs="Arial"/>
          <w:lang w:eastAsia="sl-SI"/>
        </w:rPr>
        <w:tab/>
      </w:r>
      <w:r w:rsidR="008F5147" w:rsidRPr="00D23D35">
        <w:rPr>
          <w:rFonts w:eastAsia="Times New Roman" w:cs="Arial"/>
          <w:lang w:eastAsia="sl-SI"/>
        </w:rPr>
        <w:t>tip</w:t>
      </w:r>
      <w:r w:rsidRPr="00D23D35">
        <w:rPr>
          <w:rFonts w:eastAsia="Times New Roman" w:cs="Arial"/>
          <w:lang w:eastAsia="sl-SI"/>
        </w:rPr>
        <w:t xml:space="preserve"> pristanišča,</w:t>
      </w:r>
    </w:p>
    <w:p w14:paraId="7C2CBA4A" w14:textId="43336291" w:rsidR="00613CE7" w:rsidRPr="00D23D35" w:rsidRDefault="00613CE7" w:rsidP="007E5725">
      <w:pPr>
        <w:spacing w:after="0" w:line="260" w:lineRule="atLeast"/>
        <w:ind w:left="567" w:hanging="421"/>
        <w:jc w:val="both"/>
        <w:rPr>
          <w:rFonts w:eastAsia="Times New Roman" w:cs="Arial"/>
          <w:lang w:eastAsia="sl-SI"/>
        </w:rPr>
      </w:pPr>
      <w:r w:rsidRPr="00D23D35">
        <w:rPr>
          <w:rFonts w:eastAsia="Times New Roman" w:cs="Arial"/>
          <w:lang w:eastAsia="sl-SI"/>
        </w:rPr>
        <w:lastRenderedPageBreak/>
        <w:t>-</w:t>
      </w:r>
      <w:r w:rsidRPr="00D23D35">
        <w:rPr>
          <w:rFonts w:ascii="Times New Roman" w:eastAsia="Times New Roman" w:hAnsi="Times New Roman" w:cs="Times New Roman"/>
          <w:sz w:val="14"/>
          <w:szCs w:val="14"/>
          <w:lang w:eastAsia="sl-SI"/>
        </w:rPr>
        <w:t> </w:t>
      </w:r>
      <w:r w:rsidR="00D23D35">
        <w:rPr>
          <w:rFonts w:ascii="Times New Roman" w:eastAsia="Times New Roman" w:hAnsi="Times New Roman" w:cs="Times New Roman"/>
          <w:sz w:val="14"/>
          <w:szCs w:val="14"/>
          <w:lang w:eastAsia="sl-SI"/>
        </w:rPr>
        <w:tab/>
      </w:r>
      <w:r w:rsidRPr="00D23D35">
        <w:rPr>
          <w:rFonts w:eastAsia="Times New Roman" w:cs="Arial"/>
          <w:lang w:eastAsia="sl-SI"/>
        </w:rPr>
        <w:t>število privezov v morju,</w:t>
      </w:r>
    </w:p>
    <w:p w14:paraId="5AF3A1E4" w14:textId="255931AA" w:rsidR="00613CE7" w:rsidRPr="00D23D35" w:rsidRDefault="00613CE7" w:rsidP="007E5725">
      <w:pPr>
        <w:spacing w:after="0" w:line="260" w:lineRule="atLeast"/>
        <w:ind w:left="567" w:hanging="421"/>
        <w:jc w:val="both"/>
        <w:rPr>
          <w:rFonts w:eastAsia="Times New Roman" w:cs="Arial"/>
          <w:lang w:eastAsia="sl-SI"/>
        </w:rPr>
      </w:pPr>
      <w:r w:rsidRPr="00D23D35">
        <w:rPr>
          <w:rFonts w:eastAsia="Times New Roman" w:cs="Arial"/>
          <w:lang w:eastAsia="sl-SI"/>
        </w:rPr>
        <w:t xml:space="preserve">- </w:t>
      </w:r>
      <w:r w:rsidR="00D23D35">
        <w:rPr>
          <w:rFonts w:eastAsia="Times New Roman" w:cs="Arial"/>
          <w:lang w:eastAsia="sl-SI"/>
        </w:rPr>
        <w:tab/>
      </w:r>
      <w:r w:rsidRPr="00D23D35">
        <w:rPr>
          <w:rFonts w:eastAsia="Times New Roman" w:cs="Arial"/>
          <w:lang w:eastAsia="sl-SI"/>
        </w:rPr>
        <w:t>število privezov v hangarju,</w:t>
      </w:r>
    </w:p>
    <w:p w14:paraId="4F968F27" w14:textId="69D30A31" w:rsidR="00613CE7" w:rsidRPr="00D23D35" w:rsidRDefault="00613CE7" w:rsidP="007E5725">
      <w:pPr>
        <w:spacing w:after="0" w:line="260" w:lineRule="atLeast"/>
        <w:ind w:left="567" w:hanging="421"/>
        <w:jc w:val="both"/>
        <w:rPr>
          <w:rFonts w:eastAsia="Times New Roman" w:cs="Arial"/>
          <w:lang w:eastAsia="sl-SI"/>
        </w:rPr>
      </w:pPr>
      <w:r w:rsidRPr="00D23D35">
        <w:rPr>
          <w:rFonts w:eastAsia="Times New Roman" w:cs="Arial"/>
          <w:lang w:eastAsia="sl-SI"/>
        </w:rPr>
        <w:t xml:space="preserve">- </w:t>
      </w:r>
      <w:r w:rsidR="00D23D35">
        <w:rPr>
          <w:rFonts w:eastAsia="Times New Roman" w:cs="Arial"/>
          <w:lang w:eastAsia="sl-SI"/>
        </w:rPr>
        <w:tab/>
      </w:r>
      <w:r w:rsidRPr="00D23D35">
        <w:rPr>
          <w:rFonts w:eastAsia="Times New Roman" w:cs="Arial"/>
          <w:lang w:eastAsia="sl-SI"/>
        </w:rPr>
        <w:t>število privezov na suhem,</w:t>
      </w:r>
    </w:p>
    <w:p w14:paraId="5DFEB783" w14:textId="603AE5EC" w:rsidR="00613CE7" w:rsidRPr="00D23D35" w:rsidRDefault="00613CE7" w:rsidP="007E5725">
      <w:pPr>
        <w:spacing w:after="0" w:line="260" w:lineRule="atLeast"/>
        <w:ind w:left="567" w:hanging="421"/>
        <w:jc w:val="both"/>
        <w:rPr>
          <w:rFonts w:eastAsia="Times New Roman" w:cs="Arial"/>
          <w:lang w:eastAsia="sl-SI"/>
        </w:rPr>
      </w:pPr>
      <w:r w:rsidRPr="00D23D35">
        <w:rPr>
          <w:rFonts w:eastAsia="Times New Roman" w:cs="Arial"/>
          <w:lang w:eastAsia="sl-SI"/>
        </w:rPr>
        <w:t>-</w:t>
      </w:r>
      <w:r w:rsidRPr="00D23D35">
        <w:rPr>
          <w:rFonts w:ascii="Times New Roman" w:eastAsia="Times New Roman" w:hAnsi="Times New Roman" w:cs="Times New Roman"/>
          <w:sz w:val="14"/>
          <w:szCs w:val="14"/>
          <w:lang w:eastAsia="sl-SI"/>
        </w:rPr>
        <w:t> </w:t>
      </w:r>
      <w:r w:rsidR="00D23D35">
        <w:rPr>
          <w:rFonts w:ascii="Times New Roman" w:eastAsia="Times New Roman" w:hAnsi="Times New Roman" w:cs="Times New Roman"/>
          <w:sz w:val="14"/>
          <w:szCs w:val="14"/>
          <w:lang w:eastAsia="sl-SI"/>
        </w:rPr>
        <w:tab/>
      </w:r>
      <w:r w:rsidRPr="00D23D35">
        <w:rPr>
          <w:rFonts w:eastAsia="Times New Roman" w:cs="Arial"/>
          <w:lang w:eastAsia="sl-SI"/>
        </w:rPr>
        <w:t>prihodki pristaniške dejavnosti</w:t>
      </w:r>
      <w:r w:rsidR="00211EAF" w:rsidRPr="00D23D35">
        <w:rPr>
          <w:rFonts w:eastAsia="Times New Roman" w:cs="Arial"/>
          <w:lang w:eastAsia="sl-SI"/>
        </w:rPr>
        <w:t>,</w:t>
      </w:r>
    </w:p>
    <w:p w14:paraId="0FD30F75" w14:textId="4E936CB2" w:rsidR="00613CE7" w:rsidRDefault="00613CE7" w:rsidP="007E5725">
      <w:pPr>
        <w:spacing w:after="0" w:line="260" w:lineRule="atLeast"/>
        <w:ind w:left="567" w:hanging="421"/>
        <w:jc w:val="both"/>
        <w:rPr>
          <w:rFonts w:eastAsia="Times New Roman" w:cs="Arial"/>
          <w:lang w:eastAsia="sl-SI"/>
        </w:rPr>
      </w:pPr>
      <w:r w:rsidRPr="00D23D35">
        <w:rPr>
          <w:rFonts w:eastAsia="Times New Roman" w:cs="Arial"/>
          <w:lang w:eastAsia="sl-SI"/>
        </w:rPr>
        <w:t xml:space="preserve">- </w:t>
      </w:r>
      <w:r w:rsidR="00D23D35">
        <w:rPr>
          <w:rFonts w:eastAsia="Times New Roman" w:cs="Arial"/>
          <w:lang w:eastAsia="sl-SI"/>
        </w:rPr>
        <w:tab/>
      </w:r>
      <w:r w:rsidRPr="00D23D35">
        <w:rPr>
          <w:rFonts w:eastAsia="Times New Roman" w:cs="Arial"/>
          <w:lang w:eastAsia="sl-SI"/>
        </w:rPr>
        <w:t>stroški pristaniške dejavnosti.</w:t>
      </w:r>
    </w:p>
    <w:p w14:paraId="5EA6258F" w14:textId="77777777" w:rsidR="00500405" w:rsidRPr="00D23D35" w:rsidRDefault="00500405" w:rsidP="007E5725">
      <w:pPr>
        <w:spacing w:after="0" w:line="260" w:lineRule="atLeast"/>
        <w:ind w:left="567" w:hanging="421"/>
        <w:jc w:val="both"/>
        <w:rPr>
          <w:rFonts w:eastAsia="Times New Roman" w:cs="Arial"/>
          <w:lang w:eastAsia="sl-SI"/>
        </w:rPr>
      </w:pPr>
    </w:p>
    <w:p w14:paraId="645766B8" w14:textId="16B9970B" w:rsidR="00631A2B" w:rsidRPr="00D23D35" w:rsidRDefault="00613CE7" w:rsidP="00500405">
      <w:pPr>
        <w:spacing w:after="0" w:line="260" w:lineRule="atLeast"/>
        <w:jc w:val="both"/>
        <w:rPr>
          <w:rFonts w:eastAsia="Times New Roman" w:cs="Arial"/>
          <w:lang w:eastAsia="sl-SI"/>
        </w:rPr>
      </w:pPr>
      <w:r w:rsidRPr="00613CE7">
        <w:rPr>
          <w:rFonts w:eastAsia="Times New Roman" w:cs="Arial"/>
          <w:lang w:eastAsia="sl-SI"/>
        </w:rPr>
        <w:t>(</w:t>
      </w:r>
      <w:r w:rsidR="00013C95">
        <w:rPr>
          <w:rFonts w:eastAsia="Times New Roman" w:cs="Arial"/>
          <w:lang w:eastAsia="sl-SI"/>
        </w:rPr>
        <w:t>3</w:t>
      </w:r>
      <w:r w:rsidRPr="00613CE7">
        <w:rPr>
          <w:rFonts w:eastAsia="Times New Roman" w:cs="Arial"/>
          <w:lang w:eastAsia="sl-SI"/>
        </w:rPr>
        <w:t xml:space="preserve">) Za </w:t>
      </w:r>
      <w:r w:rsidR="001639D7">
        <w:rPr>
          <w:rFonts w:eastAsia="Times New Roman" w:cs="Arial"/>
          <w:lang w:eastAsia="sl-SI"/>
        </w:rPr>
        <w:t xml:space="preserve">model za </w:t>
      </w:r>
      <w:r w:rsidRPr="00613CE7">
        <w:rPr>
          <w:rFonts w:eastAsia="Times New Roman" w:cs="Arial"/>
          <w:lang w:eastAsia="sl-SI"/>
        </w:rPr>
        <w:t xml:space="preserve">bencinske servise </w:t>
      </w:r>
      <w:r w:rsidR="001639D7">
        <w:rPr>
          <w:rFonts w:eastAsia="Times New Roman" w:cs="Arial"/>
          <w:lang w:eastAsia="sl-SI"/>
        </w:rPr>
        <w:t xml:space="preserve">(PNB) </w:t>
      </w:r>
      <w:r w:rsidRPr="00613CE7">
        <w:rPr>
          <w:rFonts w:eastAsia="Times New Roman" w:cs="Arial"/>
          <w:lang w:eastAsia="sl-SI"/>
        </w:rPr>
        <w:t>se z vprašalnikom pridobijo naslednji podatki:</w:t>
      </w:r>
    </w:p>
    <w:p w14:paraId="080C9F7A" w14:textId="13011AC1" w:rsidR="002C613C" w:rsidRPr="00D23D35" w:rsidRDefault="00613CE7" w:rsidP="007E5725">
      <w:pPr>
        <w:spacing w:after="0" w:line="260" w:lineRule="atLeast"/>
        <w:ind w:left="567" w:hanging="425"/>
        <w:jc w:val="both"/>
        <w:rPr>
          <w:rFonts w:eastAsia="Times New Roman" w:cs="Arial"/>
          <w:lang w:eastAsia="sl-SI"/>
        </w:rPr>
      </w:pPr>
      <w:r w:rsidRPr="00D23D35">
        <w:rPr>
          <w:rFonts w:eastAsia="Times New Roman" w:cs="Arial"/>
          <w:lang w:eastAsia="sl-SI"/>
        </w:rPr>
        <w:t>-</w:t>
      </w:r>
      <w:r w:rsidRPr="00D23D35">
        <w:rPr>
          <w:rFonts w:ascii="Times New Roman" w:eastAsia="Times New Roman" w:hAnsi="Times New Roman" w:cs="Times New Roman"/>
          <w:sz w:val="14"/>
          <w:szCs w:val="14"/>
          <w:lang w:eastAsia="sl-SI"/>
        </w:rPr>
        <w:t> </w:t>
      </w:r>
      <w:r w:rsidR="00B576F3">
        <w:rPr>
          <w:rFonts w:ascii="Times New Roman" w:eastAsia="Times New Roman" w:hAnsi="Times New Roman" w:cs="Times New Roman"/>
          <w:sz w:val="14"/>
          <w:szCs w:val="14"/>
          <w:lang w:eastAsia="sl-SI"/>
        </w:rPr>
        <w:tab/>
      </w:r>
      <w:r w:rsidR="002C613C" w:rsidRPr="00D23D35">
        <w:rPr>
          <w:rFonts w:eastAsia="Times New Roman" w:cs="Arial"/>
          <w:lang w:eastAsia="sl-SI"/>
        </w:rPr>
        <w:t xml:space="preserve">količina prodanih </w:t>
      </w:r>
      <w:r w:rsidR="008F5147" w:rsidRPr="00D23D35">
        <w:rPr>
          <w:rFonts w:eastAsia="Times New Roman" w:cs="Arial"/>
          <w:lang w:eastAsia="sl-SI"/>
        </w:rPr>
        <w:t>motornih goriv</w:t>
      </w:r>
      <w:r w:rsidR="002C613C" w:rsidRPr="00D23D35">
        <w:rPr>
          <w:rFonts w:eastAsia="Times New Roman" w:cs="Arial"/>
          <w:lang w:eastAsia="sl-SI"/>
        </w:rPr>
        <w:t>,</w:t>
      </w:r>
    </w:p>
    <w:p w14:paraId="52D22B97" w14:textId="2C6C285E" w:rsidR="002C613C" w:rsidRPr="00D23D35" w:rsidRDefault="002C613C" w:rsidP="007E5725">
      <w:pPr>
        <w:spacing w:after="0" w:line="260" w:lineRule="atLeast"/>
        <w:ind w:left="567" w:hanging="425"/>
        <w:jc w:val="both"/>
        <w:rPr>
          <w:rFonts w:eastAsia="Times New Roman" w:cs="Arial"/>
          <w:lang w:eastAsia="sl-SI"/>
        </w:rPr>
      </w:pPr>
      <w:r w:rsidRPr="00D23D35">
        <w:rPr>
          <w:rFonts w:eastAsia="Times New Roman" w:cs="Arial"/>
          <w:lang w:eastAsia="sl-SI"/>
        </w:rPr>
        <w:t xml:space="preserve">- </w:t>
      </w:r>
      <w:r w:rsidR="00B576F3">
        <w:rPr>
          <w:rFonts w:eastAsia="Times New Roman" w:cs="Arial"/>
          <w:lang w:eastAsia="sl-SI"/>
        </w:rPr>
        <w:tab/>
      </w:r>
      <w:r w:rsidRPr="00D23D35">
        <w:rPr>
          <w:rFonts w:eastAsia="Times New Roman" w:cs="Arial"/>
          <w:lang w:eastAsia="sl-SI"/>
        </w:rPr>
        <w:t xml:space="preserve">stroški nakupa </w:t>
      </w:r>
      <w:r w:rsidR="006C4DC4" w:rsidRPr="00D23D35">
        <w:rPr>
          <w:rFonts w:eastAsia="Times New Roman" w:cs="Arial"/>
          <w:lang w:eastAsia="sl-SI"/>
        </w:rPr>
        <w:t>motornih goriv</w:t>
      </w:r>
      <w:r w:rsidRPr="00D23D35">
        <w:rPr>
          <w:rFonts w:eastAsia="Times New Roman" w:cs="Arial"/>
          <w:lang w:eastAsia="sl-SI"/>
        </w:rPr>
        <w:t>,</w:t>
      </w:r>
    </w:p>
    <w:p w14:paraId="03BDF2C0" w14:textId="4C557836" w:rsidR="002D5E36" w:rsidRPr="00D23D35" w:rsidRDefault="002C613C" w:rsidP="007E5725">
      <w:pPr>
        <w:spacing w:after="0" w:line="260" w:lineRule="atLeast"/>
        <w:ind w:left="567" w:hanging="425"/>
        <w:jc w:val="both"/>
        <w:rPr>
          <w:rFonts w:eastAsia="Times New Roman" w:cs="Arial"/>
          <w:lang w:eastAsia="sl-SI"/>
        </w:rPr>
      </w:pPr>
      <w:r w:rsidRPr="00D23D35">
        <w:rPr>
          <w:rFonts w:eastAsia="Times New Roman" w:cs="Arial"/>
          <w:lang w:eastAsia="sl-SI"/>
        </w:rPr>
        <w:t xml:space="preserve">- </w:t>
      </w:r>
      <w:r w:rsidR="00B576F3">
        <w:rPr>
          <w:rFonts w:eastAsia="Times New Roman" w:cs="Arial"/>
          <w:lang w:eastAsia="sl-SI"/>
        </w:rPr>
        <w:tab/>
      </w:r>
      <w:r w:rsidRPr="00D23D35">
        <w:rPr>
          <w:rFonts w:eastAsia="Times New Roman" w:cs="Arial"/>
          <w:lang w:eastAsia="sl-SI"/>
        </w:rPr>
        <w:t>stroški materiala, storitev in dela</w:t>
      </w:r>
      <w:r w:rsidR="002D5E36" w:rsidRPr="00D23D35">
        <w:rPr>
          <w:rFonts w:eastAsia="Times New Roman" w:cs="Arial"/>
          <w:lang w:eastAsia="sl-SI"/>
        </w:rPr>
        <w:t xml:space="preserve">, povezani s prodajo </w:t>
      </w:r>
      <w:r w:rsidR="006C4DC4" w:rsidRPr="00D23D35">
        <w:rPr>
          <w:rFonts w:eastAsia="Times New Roman" w:cs="Arial"/>
          <w:lang w:eastAsia="sl-SI"/>
        </w:rPr>
        <w:t>motornih goriv</w:t>
      </w:r>
      <w:r w:rsidR="002D5E36" w:rsidRPr="00D23D35">
        <w:rPr>
          <w:rFonts w:eastAsia="Times New Roman" w:cs="Arial"/>
          <w:lang w:eastAsia="sl-SI"/>
        </w:rPr>
        <w:t>,</w:t>
      </w:r>
    </w:p>
    <w:p w14:paraId="29166015" w14:textId="201BC931" w:rsidR="00613CE7" w:rsidRDefault="002D5E36" w:rsidP="007E5725">
      <w:pPr>
        <w:spacing w:after="0" w:line="260" w:lineRule="atLeast"/>
        <w:ind w:left="567" w:hanging="425"/>
        <w:jc w:val="both"/>
        <w:rPr>
          <w:rFonts w:eastAsia="Times New Roman" w:cs="Arial"/>
          <w:lang w:eastAsia="sl-SI"/>
        </w:rPr>
      </w:pPr>
      <w:r w:rsidRPr="00D23D35">
        <w:rPr>
          <w:rFonts w:eastAsia="Times New Roman" w:cs="Arial"/>
          <w:lang w:eastAsia="sl-SI"/>
        </w:rPr>
        <w:t>-</w:t>
      </w:r>
      <w:r w:rsidR="00B576F3">
        <w:rPr>
          <w:rFonts w:eastAsia="Times New Roman" w:cs="Arial"/>
          <w:lang w:eastAsia="sl-SI"/>
        </w:rPr>
        <w:tab/>
      </w:r>
      <w:r w:rsidRPr="00D23D35">
        <w:rPr>
          <w:rFonts w:eastAsia="Times New Roman" w:cs="Arial"/>
          <w:lang w:eastAsia="sl-SI"/>
        </w:rPr>
        <w:t>stroški dajatev</w:t>
      </w:r>
      <w:r w:rsidR="00231F5E" w:rsidRPr="00D23D35">
        <w:rPr>
          <w:rFonts w:eastAsia="Times New Roman" w:cs="Arial"/>
          <w:lang w:eastAsia="sl-SI"/>
        </w:rPr>
        <w:t xml:space="preserve"> in drugi stroški</w:t>
      </w:r>
      <w:r w:rsidRPr="00D23D35">
        <w:rPr>
          <w:rFonts w:eastAsia="Times New Roman" w:cs="Arial"/>
          <w:lang w:eastAsia="sl-SI"/>
        </w:rPr>
        <w:t xml:space="preserve">, povezani s prodajo </w:t>
      </w:r>
      <w:r w:rsidR="006C4DC4" w:rsidRPr="00D23D35">
        <w:rPr>
          <w:rFonts w:eastAsia="Times New Roman" w:cs="Arial"/>
          <w:lang w:eastAsia="sl-SI"/>
        </w:rPr>
        <w:t>motornih goriv</w:t>
      </w:r>
      <w:r w:rsidRPr="00D23D35">
        <w:rPr>
          <w:rFonts w:eastAsia="Times New Roman" w:cs="Arial"/>
          <w:lang w:eastAsia="sl-SI"/>
        </w:rPr>
        <w:t>.</w:t>
      </w:r>
    </w:p>
    <w:p w14:paraId="26FBD783" w14:textId="77777777" w:rsidR="00500405" w:rsidRPr="00D23D35" w:rsidRDefault="00500405" w:rsidP="007E5725">
      <w:pPr>
        <w:spacing w:after="0" w:line="260" w:lineRule="atLeast"/>
        <w:ind w:left="567" w:hanging="425"/>
        <w:jc w:val="both"/>
        <w:rPr>
          <w:rFonts w:eastAsia="Times New Roman" w:cs="Arial"/>
          <w:lang w:eastAsia="sl-SI"/>
        </w:rPr>
      </w:pPr>
    </w:p>
    <w:p w14:paraId="5A70BF2C" w14:textId="401831DE" w:rsidR="00613CE7" w:rsidRPr="00613CE7" w:rsidRDefault="001639D7" w:rsidP="007E5725">
      <w:pPr>
        <w:spacing w:after="0" w:line="260" w:lineRule="atLeast"/>
        <w:jc w:val="both"/>
        <w:rPr>
          <w:rFonts w:eastAsia="Times New Roman" w:cs="Arial"/>
          <w:lang w:eastAsia="sl-SI"/>
        </w:rPr>
      </w:pPr>
      <w:r>
        <w:rPr>
          <w:rFonts w:eastAsia="Times New Roman" w:cs="Arial"/>
          <w:lang w:eastAsia="sl-SI"/>
        </w:rPr>
        <w:t>(</w:t>
      </w:r>
      <w:r w:rsidR="00013C95">
        <w:rPr>
          <w:rFonts w:eastAsia="Times New Roman" w:cs="Arial"/>
          <w:lang w:eastAsia="sl-SI"/>
        </w:rPr>
        <w:t>4</w:t>
      </w:r>
      <w:r w:rsidR="00613CE7" w:rsidRPr="00613CE7">
        <w:rPr>
          <w:rFonts w:eastAsia="Times New Roman" w:cs="Arial"/>
          <w:lang w:eastAsia="sl-SI"/>
        </w:rPr>
        <w:t xml:space="preserve">) </w:t>
      </w:r>
      <w:r w:rsidR="002C613C">
        <w:rPr>
          <w:rFonts w:eastAsia="Times New Roman" w:cs="Arial"/>
          <w:lang w:eastAsia="sl-SI"/>
        </w:rPr>
        <w:t xml:space="preserve">Podatki se </w:t>
      </w:r>
      <w:r>
        <w:rPr>
          <w:rFonts w:eastAsia="Times New Roman" w:cs="Arial"/>
          <w:lang w:eastAsia="sl-SI"/>
        </w:rPr>
        <w:t xml:space="preserve">z vprašalniki </w:t>
      </w:r>
      <w:r w:rsidR="002C613C">
        <w:rPr>
          <w:rFonts w:eastAsia="Times New Roman" w:cs="Arial"/>
          <w:lang w:eastAsia="sl-SI"/>
        </w:rPr>
        <w:t xml:space="preserve">lahko pridobivajo za </w:t>
      </w:r>
      <w:r w:rsidR="00ED5F2E">
        <w:rPr>
          <w:rFonts w:eastAsia="Times New Roman" w:cs="Arial"/>
          <w:lang w:eastAsia="sl-SI"/>
        </w:rPr>
        <w:t xml:space="preserve">tekoče in za pretekla </w:t>
      </w:r>
      <w:r w:rsidR="002C613C">
        <w:rPr>
          <w:rFonts w:eastAsia="Times New Roman" w:cs="Arial"/>
          <w:lang w:eastAsia="sl-SI"/>
        </w:rPr>
        <w:t>obdobj</w:t>
      </w:r>
      <w:r w:rsidR="00ED5F2E">
        <w:rPr>
          <w:rFonts w:eastAsia="Times New Roman" w:cs="Arial"/>
          <w:lang w:eastAsia="sl-SI"/>
        </w:rPr>
        <w:t>a</w:t>
      </w:r>
      <w:r w:rsidR="002C613C">
        <w:rPr>
          <w:rFonts w:eastAsia="Times New Roman" w:cs="Arial"/>
          <w:lang w:eastAsia="sl-SI"/>
        </w:rPr>
        <w:t>.</w:t>
      </w:r>
    </w:p>
    <w:p w14:paraId="3262E802" w14:textId="77777777" w:rsidR="00957345" w:rsidRDefault="00957345" w:rsidP="007E5725">
      <w:pPr>
        <w:spacing w:after="0" w:line="260" w:lineRule="atLeast"/>
        <w:jc w:val="both"/>
        <w:rPr>
          <w:rFonts w:cs="Arial"/>
        </w:rPr>
      </w:pPr>
    </w:p>
    <w:p w14:paraId="176B5338" w14:textId="5BEFD72B" w:rsidR="00957345" w:rsidRPr="007E5725" w:rsidRDefault="001639D7" w:rsidP="007E5725">
      <w:pPr>
        <w:spacing w:after="0" w:line="260" w:lineRule="atLeast"/>
        <w:jc w:val="center"/>
        <w:rPr>
          <w:rFonts w:cs="Arial"/>
          <w:b/>
        </w:rPr>
      </w:pPr>
      <w:r w:rsidRPr="007E5725">
        <w:rPr>
          <w:rFonts w:cs="Arial"/>
          <w:b/>
        </w:rPr>
        <w:t xml:space="preserve">4. </w:t>
      </w:r>
      <w:r w:rsidR="00957345" w:rsidRPr="007E5725">
        <w:rPr>
          <w:rFonts w:cs="Arial"/>
          <w:b/>
        </w:rPr>
        <w:t>člen</w:t>
      </w:r>
    </w:p>
    <w:p w14:paraId="0AEDAE79" w14:textId="77777777" w:rsidR="007E5725" w:rsidRDefault="007E5725" w:rsidP="007E5725">
      <w:pPr>
        <w:spacing w:after="0" w:line="260" w:lineRule="atLeast"/>
        <w:jc w:val="both"/>
        <w:rPr>
          <w:rFonts w:cs="Arial"/>
        </w:rPr>
      </w:pPr>
    </w:p>
    <w:p w14:paraId="0B64518E" w14:textId="071CC373" w:rsidR="00957345" w:rsidRPr="00AF28B7" w:rsidRDefault="00957345" w:rsidP="007E5725">
      <w:pPr>
        <w:spacing w:after="0" w:line="260" w:lineRule="atLeast"/>
        <w:jc w:val="both"/>
        <w:rPr>
          <w:rFonts w:cs="Arial"/>
        </w:rPr>
      </w:pPr>
      <w:r w:rsidRPr="00AF28B7">
        <w:rPr>
          <w:rFonts w:cs="Arial"/>
        </w:rPr>
        <w:t xml:space="preserve">Ta pravilnik začne veljati petnajsti dan po objavi v </w:t>
      </w:r>
      <w:r>
        <w:rPr>
          <w:rFonts w:cs="Arial"/>
        </w:rPr>
        <w:t>U</w:t>
      </w:r>
      <w:r w:rsidRPr="00AF28B7">
        <w:rPr>
          <w:rFonts w:cs="Arial"/>
        </w:rPr>
        <w:t>radnem listu</w:t>
      </w:r>
      <w:r>
        <w:rPr>
          <w:rFonts w:cs="Arial"/>
        </w:rPr>
        <w:t xml:space="preserve"> R</w:t>
      </w:r>
      <w:r w:rsidR="006C4DC4">
        <w:rPr>
          <w:rFonts w:cs="Arial"/>
        </w:rPr>
        <w:t>epublike Slovenije</w:t>
      </w:r>
      <w:r>
        <w:rPr>
          <w:rFonts w:cs="Arial"/>
        </w:rPr>
        <w:t>.</w:t>
      </w:r>
    </w:p>
    <w:p w14:paraId="22996FA2" w14:textId="77777777" w:rsidR="00957345" w:rsidRDefault="00957345" w:rsidP="007E5725">
      <w:pPr>
        <w:spacing w:after="0" w:line="260" w:lineRule="atLeast"/>
        <w:jc w:val="both"/>
        <w:rPr>
          <w:rFonts w:cs="Arial"/>
        </w:rPr>
      </w:pPr>
    </w:p>
    <w:p w14:paraId="6A84AA26" w14:textId="77777777" w:rsidR="007E5725" w:rsidRDefault="007E5725" w:rsidP="007E5725">
      <w:pPr>
        <w:spacing w:after="0" w:line="260" w:lineRule="atLeast"/>
        <w:jc w:val="both"/>
        <w:rPr>
          <w:rFonts w:cs="Arial"/>
        </w:rPr>
      </w:pPr>
    </w:p>
    <w:p w14:paraId="7E80701B" w14:textId="4EB4A326" w:rsidR="007E5725" w:rsidRDefault="007E5725" w:rsidP="007E5725">
      <w:pPr>
        <w:spacing w:after="0" w:line="260" w:lineRule="atLeast"/>
        <w:jc w:val="both"/>
        <w:rPr>
          <w:rFonts w:cs="Arial"/>
        </w:rPr>
      </w:pPr>
      <w:r>
        <w:rPr>
          <w:rFonts w:cs="Arial"/>
        </w:rPr>
        <w:t>Št.</w:t>
      </w:r>
    </w:p>
    <w:p w14:paraId="7CA7DC20" w14:textId="74B51C5F" w:rsidR="007E5725" w:rsidRDefault="007E5725" w:rsidP="007E5725">
      <w:pPr>
        <w:spacing w:after="0" w:line="260" w:lineRule="atLeast"/>
        <w:jc w:val="both"/>
        <w:rPr>
          <w:rFonts w:cs="Arial"/>
        </w:rPr>
      </w:pPr>
      <w:r>
        <w:rPr>
          <w:rFonts w:cs="Arial"/>
        </w:rPr>
        <w:t>Ljubljana, dne ___________ 2018</w:t>
      </w:r>
    </w:p>
    <w:p w14:paraId="02E3B576" w14:textId="3A38E424" w:rsidR="007E5725" w:rsidRDefault="007E5725" w:rsidP="007E5725">
      <w:pPr>
        <w:spacing w:after="0" w:line="260" w:lineRule="atLeast"/>
        <w:jc w:val="both"/>
        <w:rPr>
          <w:rFonts w:cs="Arial"/>
        </w:rPr>
      </w:pPr>
      <w:r>
        <w:rPr>
          <w:rFonts w:cs="Arial"/>
        </w:rPr>
        <w:t xml:space="preserve">EVA </w:t>
      </w:r>
    </w:p>
    <w:p w14:paraId="630E64AB" w14:textId="77777777" w:rsidR="007E5725" w:rsidRDefault="007E5725" w:rsidP="007E5725">
      <w:pPr>
        <w:spacing w:after="0" w:line="260" w:lineRule="atLeast"/>
        <w:jc w:val="both"/>
        <w:rPr>
          <w:rFonts w:cs="Arial"/>
        </w:rPr>
      </w:pPr>
    </w:p>
    <w:p w14:paraId="339501C2" w14:textId="77777777" w:rsidR="007E5725" w:rsidRDefault="007E5725" w:rsidP="007E5725">
      <w:pPr>
        <w:spacing w:after="0" w:line="260" w:lineRule="atLeast"/>
        <w:jc w:val="both"/>
        <w:rPr>
          <w:rFonts w:cs="Arial"/>
        </w:rPr>
      </w:pPr>
    </w:p>
    <w:p w14:paraId="767150A8" w14:textId="5B8612EF" w:rsidR="007E5725" w:rsidRPr="007E5725" w:rsidRDefault="007E5725" w:rsidP="007E5725">
      <w:pPr>
        <w:spacing w:after="0" w:line="260" w:lineRule="atLeast"/>
        <w:ind w:left="3119"/>
        <w:jc w:val="center"/>
        <w:rPr>
          <w:rFonts w:cs="Arial"/>
          <w:b/>
        </w:rPr>
      </w:pPr>
      <w:r w:rsidRPr="007E5725">
        <w:rPr>
          <w:rFonts w:cs="Arial"/>
          <w:b/>
        </w:rPr>
        <w:t>Irena Majcen</w:t>
      </w:r>
    </w:p>
    <w:p w14:paraId="24A4A621" w14:textId="630ED480" w:rsidR="007E5725" w:rsidRPr="004F0AB5" w:rsidRDefault="004F0AB5" w:rsidP="007E5725">
      <w:pPr>
        <w:spacing w:after="0" w:line="260" w:lineRule="atLeast"/>
        <w:ind w:left="3119"/>
        <w:jc w:val="center"/>
        <w:rPr>
          <w:rFonts w:cs="Arial"/>
        </w:rPr>
      </w:pPr>
      <w:r w:rsidRPr="004F0AB5">
        <w:rPr>
          <w:rFonts w:cs="Arial"/>
        </w:rPr>
        <w:t>m</w:t>
      </w:r>
      <w:r w:rsidR="007E5725" w:rsidRPr="004F0AB5">
        <w:rPr>
          <w:rFonts w:cs="Arial"/>
        </w:rPr>
        <w:t>inistrica za okolje in prostor</w:t>
      </w:r>
    </w:p>
    <w:p w14:paraId="029B4AC6" w14:textId="77777777" w:rsidR="007E5725" w:rsidRPr="004F0AB5" w:rsidRDefault="007E5725" w:rsidP="007E5725">
      <w:pPr>
        <w:spacing w:after="0" w:line="260" w:lineRule="atLeast"/>
        <w:ind w:left="3119"/>
        <w:jc w:val="center"/>
        <w:rPr>
          <w:rFonts w:cs="Arial"/>
        </w:rPr>
      </w:pPr>
    </w:p>
    <w:p w14:paraId="1A903F89" w14:textId="77777777" w:rsidR="007E5725" w:rsidRDefault="007E5725" w:rsidP="007E5725">
      <w:pPr>
        <w:spacing w:after="0" w:line="260" w:lineRule="atLeast"/>
        <w:ind w:left="3119"/>
        <w:jc w:val="center"/>
        <w:rPr>
          <w:rFonts w:cs="Arial"/>
          <w:b/>
        </w:rPr>
      </w:pPr>
    </w:p>
    <w:p w14:paraId="2AE227B1" w14:textId="77777777" w:rsidR="007E5725" w:rsidRDefault="007E5725" w:rsidP="007E5725">
      <w:pPr>
        <w:spacing w:after="0" w:line="260" w:lineRule="atLeast"/>
        <w:ind w:left="3119"/>
        <w:jc w:val="center"/>
        <w:rPr>
          <w:rFonts w:cs="Arial"/>
          <w:b/>
        </w:rPr>
      </w:pPr>
    </w:p>
    <w:p w14:paraId="2254E751" w14:textId="17EDCBF0" w:rsidR="007E5725" w:rsidRPr="004F0AB5" w:rsidRDefault="007E5725" w:rsidP="004F0AB5">
      <w:pPr>
        <w:spacing w:after="0" w:line="240" w:lineRule="auto"/>
        <w:ind w:left="3119"/>
        <w:jc w:val="center"/>
        <w:rPr>
          <w:rFonts w:eastAsia="Times New Roman" w:cs="Arial"/>
          <w:color w:val="000000"/>
          <w:lang w:eastAsia="sl-SI"/>
        </w:rPr>
      </w:pPr>
      <w:r w:rsidRPr="004F0AB5">
        <w:rPr>
          <w:rFonts w:eastAsia="Times New Roman" w:cs="Arial"/>
          <w:color w:val="000000"/>
          <w:lang w:eastAsia="sl-SI"/>
        </w:rPr>
        <w:t>Soglašam!</w:t>
      </w:r>
    </w:p>
    <w:p w14:paraId="2E3AD04A" w14:textId="18B56206" w:rsidR="007E5725" w:rsidRPr="004F0AB5" w:rsidRDefault="007E5725" w:rsidP="004F0AB5">
      <w:pPr>
        <w:spacing w:after="0" w:line="240" w:lineRule="auto"/>
        <w:ind w:left="3119"/>
        <w:jc w:val="center"/>
        <w:rPr>
          <w:rFonts w:eastAsia="Times New Roman" w:cs="Arial"/>
          <w:color w:val="000000"/>
          <w:lang w:eastAsia="sl-SI"/>
        </w:rPr>
      </w:pPr>
    </w:p>
    <w:p w14:paraId="215573C3" w14:textId="119C0282" w:rsidR="007E5725" w:rsidRPr="004F0AB5" w:rsidRDefault="00163DE4" w:rsidP="004F0AB5">
      <w:pPr>
        <w:spacing w:after="0" w:line="240" w:lineRule="auto"/>
        <w:ind w:left="3119"/>
        <w:jc w:val="center"/>
        <w:rPr>
          <w:rFonts w:eastAsia="Times New Roman" w:cs="Arial"/>
          <w:color w:val="000000"/>
          <w:lang w:eastAsia="sl-SI"/>
        </w:rPr>
      </w:pPr>
      <w:r>
        <w:rPr>
          <w:rFonts w:eastAsia="Times New Roman" w:cs="Arial"/>
          <w:b/>
          <w:bCs/>
          <w:color w:val="000000"/>
          <w:lang w:eastAsia="sl-SI"/>
        </w:rPr>
        <w:t>m</w:t>
      </w:r>
      <w:r w:rsidR="007E5725" w:rsidRPr="004F0AB5">
        <w:rPr>
          <w:rFonts w:eastAsia="Times New Roman" w:cs="Arial"/>
          <w:b/>
          <w:bCs/>
          <w:color w:val="000000"/>
          <w:lang w:eastAsia="sl-SI"/>
        </w:rPr>
        <w:t xml:space="preserve">ag. </w:t>
      </w:r>
      <w:r w:rsidR="004F0AB5">
        <w:rPr>
          <w:rFonts w:eastAsia="Times New Roman" w:cs="Arial"/>
          <w:b/>
          <w:bCs/>
          <w:color w:val="000000"/>
          <w:lang w:eastAsia="sl-SI"/>
        </w:rPr>
        <w:t>Mateja Vraničar Erman</w:t>
      </w:r>
    </w:p>
    <w:p w14:paraId="4370A40B" w14:textId="3983FF81" w:rsidR="007E5725" w:rsidRPr="004F0AB5" w:rsidRDefault="004F0AB5" w:rsidP="004F0AB5">
      <w:pPr>
        <w:spacing w:after="0" w:line="240" w:lineRule="auto"/>
        <w:ind w:left="3119"/>
        <w:jc w:val="center"/>
        <w:rPr>
          <w:rFonts w:eastAsia="Times New Roman" w:cs="Arial"/>
          <w:color w:val="000000"/>
          <w:lang w:eastAsia="sl-SI"/>
        </w:rPr>
      </w:pPr>
      <w:r w:rsidRPr="004F0AB5">
        <w:rPr>
          <w:rFonts w:eastAsia="Times New Roman" w:cs="Arial"/>
          <w:color w:val="000000"/>
          <w:lang w:eastAsia="sl-SI"/>
        </w:rPr>
        <w:t>minist</w:t>
      </w:r>
      <w:r w:rsidR="007E5725" w:rsidRPr="004F0AB5">
        <w:rPr>
          <w:rFonts w:eastAsia="Times New Roman" w:cs="Arial"/>
          <w:color w:val="000000"/>
          <w:lang w:eastAsia="sl-SI"/>
        </w:rPr>
        <w:t>r</w:t>
      </w:r>
      <w:r>
        <w:rPr>
          <w:rFonts w:eastAsia="Times New Roman" w:cs="Arial"/>
          <w:color w:val="000000"/>
          <w:lang w:eastAsia="sl-SI"/>
        </w:rPr>
        <w:t>ica za finance</w:t>
      </w:r>
    </w:p>
    <w:p w14:paraId="41196F44" w14:textId="77777777" w:rsidR="007E5725" w:rsidRDefault="007E5725" w:rsidP="007E5725">
      <w:pPr>
        <w:spacing w:after="0" w:line="260" w:lineRule="atLeast"/>
        <w:ind w:left="3119"/>
        <w:jc w:val="center"/>
        <w:rPr>
          <w:rFonts w:cs="Arial"/>
          <w:b/>
        </w:rPr>
      </w:pPr>
    </w:p>
    <w:p w14:paraId="4AFB273D" w14:textId="77777777" w:rsidR="004F0AB5" w:rsidRDefault="004F0AB5" w:rsidP="007E5725">
      <w:pPr>
        <w:spacing w:after="0" w:line="260" w:lineRule="atLeast"/>
        <w:ind w:left="3119"/>
        <w:jc w:val="center"/>
        <w:rPr>
          <w:rFonts w:cs="Arial"/>
          <w:b/>
        </w:rPr>
      </w:pPr>
    </w:p>
    <w:p w14:paraId="201D3451" w14:textId="2F65C131" w:rsidR="004F0AB5" w:rsidRDefault="004F0AB5" w:rsidP="004F0AB5">
      <w:pPr>
        <w:spacing w:after="0" w:line="260" w:lineRule="atLeast"/>
        <w:rPr>
          <w:rFonts w:cs="Arial"/>
          <w:b/>
        </w:rPr>
      </w:pPr>
      <w:r>
        <w:rPr>
          <w:rFonts w:cs="Arial"/>
          <w:b/>
        </w:rPr>
        <w:t>__________________________________________________________________________</w:t>
      </w:r>
    </w:p>
    <w:p w14:paraId="520F48B9" w14:textId="77777777" w:rsidR="004F0AB5" w:rsidRDefault="004F0AB5" w:rsidP="004F0AB5">
      <w:pPr>
        <w:spacing w:after="0" w:line="260" w:lineRule="atLeast"/>
        <w:rPr>
          <w:rFonts w:cs="Arial"/>
          <w:b/>
        </w:rPr>
      </w:pPr>
    </w:p>
    <w:p w14:paraId="06A0F38A" w14:textId="77777777" w:rsidR="004F0AB5" w:rsidRDefault="004F0AB5" w:rsidP="004F0AB5">
      <w:pPr>
        <w:spacing w:after="0" w:line="260" w:lineRule="atLeast"/>
        <w:rPr>
          <w:rFonts w:cs="Arial"/>
          <w:b/>
        </w:rPr>
      </w:pPr>
    </w:p>
    <w:p w14:paraId="67ABB39F" w14:textId="25A77475" w:rsidR="004F0AB5" w:rsidRDefault="004F0AB5" w:rsidP="004F0AB5">
      <w:pPr>
        <w:spacing w:after="0" w:line="260" w:lineRule="atLeast"/>
        <w:jc w:val="center"/>
        <w:rPr>
          <w:rFonts w:cs="Arial"/>
          <w:b/>
        </w:rPr>
      </w:pPr>
      <w:r>
        <w:rPr>
          <w:rFonts w:cs="Arial"/>
          <w:b/>
        </w:rPr>
        <w:t>Obrazložitev</w:t>
      </w:r>
    </w:p>
    <w:p w14:paraId="242B654D" w14:textId="77777777" w:rsidR="004F0AB5" w:rsidRDefault="004F0AB5" w:rsidP="004F0AB5">
      <w:pPr>
        <w:spacing w:after="0" w:line="260" w:lineRule="atLeast"/>
        <w:jc w:val="center"/>
        <w:rPr>
          <w:rFonts w:cs="Arial"/>
          <w:b/>
        </w:rPr>
      </w:pPr>
    </w:p>
    <w:p w14:paraId="04749E77" w14:textId="3FF45573" w:rsidR="00ED3342" w:rsidRDefault="004F0AB5" w:rsidP="004F0AB5">
      <w:pPr>
        <w:spacing w:after="0" w:line="260" w:lineRule="atLeast"/>
        <w:jc w:val="both"/>
        <w:rPr>
          <w:rFonts w:cs="Arial"/>
        </w:rPr>
      </w:pPr>
      <w:r>
        <w:rPr>
          <w:rFonts w:cs="Arial"/>
        </w:rPr>
        <w:t>Zakon o množičnem vrednotenju nepremičnin (Uradni list RS, št. 77/17</w:t>
      </w:r>
      <w:r w:rsidR="005E1E92">
        <w:rPr>
          <w:rFonts w:cs="Arial"/>
        </w:rPr>
        <w:t>; v nadaljnjem besedilu ZMVN-1</w:t>
      </w:r>
      <w:r>
        <w:rPr>
          <w:rFonts w:cs="Arial"/>
        </w:rPr>
        <w:t xml:space="preserve">) v 41. členu ureja </w:t>
      </w:r>
      <w:r w:rsidR="00ED3342">
        <w:rPr>
          <w:rFonts w:cs="Arial"/>
        </w:rPr>
        <w:t>način pridobivanja</w:t>
      </w:r>
      <w:r>
        <w:rPr>
          <w:rFonts w:cs="Arial"/>
        </w:rPr>
        <w:t xml:space="preserve"> podatkov</w:t>
      </w:r>
      <w:r w:rsidR="00ED3342">
        <w:rPr>
          <w:rFonts w:cs="Arial"/>
        </w:rPr>
        <w:t xml:space="preserve"> o trgu nepremičnin ali o nepremičninah, ki jih je v skladu s 13. členom potrebno sistemsko zbrati za kakovostno izvedbo določitve modelov vrednotenja. Podatki se</w:t>
      </w:r>
      <w:r>
        <w:rPr>
          <w:rFonts w:cs="Arial"/>
        </w:rPr>
        <w:t xml:space="preserve"> pridobivajo neposredno od </w:t>
      </w:r>
      <w:r w:rsidR="000B46E9">
        <w:rPr>
          <w:rFonts w:cs="Arial"/>
        </w:rPr>
        <w:t xml:space="preserve">oseb, ki opravljajo dejavnost, </w:t>
      </w:r>
      <w:r>
        <w:rPr>
          <w:rFonts w:cs="Arial"/>
        </w:rPr>
        <w:t>z vprašalnik</w:t>
      </w:r>
      <w:r w:rsidR="00ED3342">
        <w:rPr>
          <w:rFonts w:cs="Arial"/>
        </w:rPr>
        <w:t>i</w:t>
      </w:r>
      <w:r>
        <w:rPr>
          <w:rFonts w:cs="Arial"/>
        </w:rPr>
        <w:t xml:space="preserve"> in se evidentirajo v evidenci vrednotenja.</w:t>
      </w:r>
      <w:r w:rsidR="00ED3342">
        <w:rPr>
          <w:rFonts w:cs="Arial"/>
        </w:rPr>
        <w:t xml:space="preserve"> Zbrani podatki se najprej uporabijo za postopek določanja modelov vrednotenja, po določitvi modelov vrednotenja z uredbo vlade o določitvi modelov vrednotenja pa tudi za pripis posplošene vrednosti.</w:t>
      </w:r>
    </w:p>
    <w:p w14:paraId="77CDA59D" w14:textId="77777777" w:rsidR="00ED3342" w:rsidRDefault="00ED3342" w:rsidP="004F0AB5">
      <w:pPr>
        <w:spacing w:after="0" w:line="260" w:lineRule="atLeast"/>
        <w:jc w:val="both"/>
        <w:rPr>
          <w:rFonts w:cs="Arial"/>
        </w:rPr>
      </w:pPr>
    </w:p>
    <w:p w14:paraId="64707684" w14:textId="7E269736" w:rsidR="005E1E92" w:rsidRPr="005E1E92" w:rsidRDefault="00ED3342" w:rsidP="004F0AB5">
      <w:pPr>
        <w:spacing w:after="0" w:line="260" w:lineRule="atLeast"/>
        <w:jc w:val="both"/>
        <w:rPr>
          <w:rFonts w:cs="Arial"/>
          <w:color w:val="000000" w:themeColor="text1"/>
        </w:rPr>
      </w:pPr>
      <w:r w:rsidRPr="005E1E92">
        <w:rPr>
          <w:rFonts w:cs="Arial"/>
          <w:color w:val="000000" w:themeColor="text1"/>
        </w:rPr>
        <w:t xml:space="preserve">Zbiranje podatkov o nepremičninah za potrebe množičnega vrednotenja </w:t>
      </w:r>
      <w:r w:rsidR="00F570C8" w:rsidRPr="005E1E92">
        <w:rPr>
          <w:rFonts w:cs="Arial"/>
          <w:color w:val="000000" w:themeColor="text1"/>
        </w:rPr>
        <w:t xml:space="preserve">z vprašalniki se je izvajalo </w:t>
      </w:r>
      <w:r w:rsidRPr="005E1E92">
        <w:rPr>
          <w:rFonts w:cs="Arial"/>
          <w:color w:val="000000" w:themeColor="text1"/>
        </w:rPr>
        <w:t>že na podlagi Zakona o množičnem vrednotenju nepremičnin (</w:t>
      </w:r>
      <w:r w:rsidRPr="005E1E92">
        <w:rPr>
          <w:rFonts w:cs="Arial"/>
          <w:bCs/>
          <w:color w:val="000000" w:themeColor="text1"/>
        </w:rPr>
        <w:t>Uradni list RS, št. 50/06, 87/11, 40/12 – ZUJF, 22/14 – odl. US in 77/17 – ZMVN-1</w:t>
      </w:r>
      <w:r w:rsidRPr="005E1E92">
        <w:rPr>
          <w:rFonts w:cs="Arial"/>
          <w:color w:val="000000" w:themeColor="text1"/>
        </w:rPr>
        <w:t>)</w:t>
      </w:r>
      <w:r w:rsidR="005E1E92" w:rsidRPr="005E1E92">
        <w:rPr>
          <w:rFonts w:cs="Arial"/>
          <w:color w:val="000000" w:themeColor="text1"/>
        </w:rPr>
        <w:t xml:space="preserve">. Pravilnik o vsebini vprašalnika za generalno vrednotenje nepremičnin </w:t>
      </w:r>
      <w:r w:rsidR="005E1E92" w:rsidRPr="005E1E92">
        <w:rPr>
          <w:rFonts w:eastAsia="Times New Roman" w:cs="Arial"/>
          <w:bCs/>
          <w:color w:val="000000" w:themeColor="text1"/>
          <w:lang w:eastAsia="sl-SI"/>
        </w:rPr>
        <w:t>(Uradni list RS, št. 15/10 in 77/17 – ZMVN-1)</w:t>
      </w:r>
      <w:r w:rsidR="005E1E92">
        <w:rPr>
          <w:rFonts w:eastAsia="Times New Roman" w:cs="Arial"/>
          <w:bCs/>
          <w:color w:val="000000" w:themeColor="text1"/>
          <w:lang w:eastAsia="sl-SI"/>
        </w:rPr>
        <w:t xml:space="preserve"> je določal zbiranje določenih podatkov o nepremičninah za različne vrste nepremičnin (garaže, hotele, </w:t>
      </w:r>
      <w:r w:rsidR="005E1E92">
        <w:rPr>
          <w:rFonts w:eastAsia="Times New Roman" w:cs="Arial"/>
          <w:bCs/>
          <w:color w:val="000000" w:themeColor="text1"/>
          <w:lang w:eastAsia="sl-SI"/>
        </w:rPr>
        <w:lastRenderedPageBreak/>
        <w:t xml:space="preserve">gostinske objekte, poslovne nepremičnine, industrijske nepremičnine, ipd. ter tudi posebne nepremičnine).  </w:t>
      </w:r>
      <w:r w:rsidR="005E1E92" w:rsidRPr="005E1E92">
        <w:rPr>
          <w:rFonts w:eastAsia="Times New Roman" w:cs="Arial"/>
          <w:bCs/>
          <w:color w:val="000000" w:themeColor="text1"/>
          <w:lang w:eastAsia="sl-SI"/>
        </w:rPr>
        <w:t xml:space="preserve"> </w:t>
      </w:r>
    </w:p>
    <w:p w14:paraId="7BAC3A5C" w14:textId="77777777" w:rsidR="00ED3342" w:rsidRPr="00ED3342" w:rsidRDefault="00ED3342" w:rsidP="004F0AB5">
      <w:pPr>
        <w:spacing w:after="0" w:line="260" w:lineRule="atLeast"/>
        <w:jc w:val="both"/>
        <w:rPr>
          <w:rFonts w:cs="Arial"/>
        </w:rPr>
      </w:pPr>
    </w:p>
    <w:p w14:paraId="60D51FA7" w14:textId="77777777" w:rsidR="008A2920" w:rsidRDefault="00ED3342" w:rsidP="004F0AB5">
      <w:pPr>
        <w:spacing w:after="0" w:line="260" w:lineRule="atLeast"/>
        <w:jc w:val="both"/>
        <w:rPr>
          <w:rFonts w:cs="Arial"/>
        </w:rPr>
      </w:pPr>
      <w:r>
        <w:rPr>
          <w:rFonts w:cs="Arial"/>
        </w:rPr>
        <w:t xml:space="preserve">Na podlagi izvedene analize trga nepremičnin v skladu z 11. in 12. členom </w:t>
      </w:r>
      <w:r w:rsidR="008A2920">
        <w:rPr>
          <w:rFonts w:cs="Arial"/>
        </w:rPr>
        <w:t xml:space="preserve">ZMVN-1 je organ vrednotenja ugotovil, da za oblikovanje osnutkov novih modelov vrednotenja potrebuje dodatne podatke le za določitev modelov vrednotenja za posebne enote vrednotenja, ki se vrednotijo po modelih vrednotenja </w:t>
      </w:r>
      <w:r w:rsidR="008A2920" w:rsidRPr="00957345">
        <w:rPr>
          <w:rFonts w:cs="Arial"/>
        </w:rPr>
        <w:t>za bencinske servise (PNB), za elektrarne (PNE) in za pristanišča (PNP</w:t>
      </w:r>
      <w:r w:rsidR="008A2920">
        <w:rPr>
          <w:rFonts w:cs="Arial"/>
        </w:rPr>
        <w:t xml:space="preserve">). Za vrednotenje nepremičnin, ki se vrednotijo z ostalimi modeli vrednotenja, zadoščajo podatki o nepremičninah, ki so že sistemsko zbrani v uradnih evidencah – v registru nepremičnin. </w:t>
      </w:r>
    </w:p>
    <w:p w14:paraId="1A2103F5" w14:textId="77777777" w:rsidR="008A2920" w:rsidRDefault="008A2920" w:rsidP="004F0AB5">
      <w:pPr>
        <w:spacing w:after="0" w:line="260" w:lineRule="atLeast"/>
        <w:jc w:val="both"/>
        <w:rPr>
          <w:rFonts w:cs="Arial"/>
        </w:rPr>
      </w:pPr>
    </w:p>
    <w:p w14:paraId="2FDA08AD" w14:textId="7FA19302" w:rsidR="004F0AB5" w:rsidRDefault="008A2920" w:rsidP="004F0AB5">
      <w:pPr>
        <w:spacing w:after="0" w:line="260" w:lineRule="atLeast"/>
        <w:jc w:val="both"/>
        <w:rPr>
          <w:rFonts w:cs="Arial"/>
          <w:u w:val="single"/>
        </w:rPr>
      </w:pPr>
      <w:r w:rsidRPr="008A2920">
        <w:rPr>
          <w:rFonts w:cs="Arial"/>
          <w:u w:val="single"/>
        </w:rPr>
        <w:t xml:space="preserve">K 1. členu  </w:t>
      </w:r>
    </w:p>
    <w:p w14:paraId="59FAC019" w14:textId="674ACB9E" w:rsidR="00616AE7" w:rsidRDefault="00616AE7" w:rsidP="004F0AB5">
      <w:pPr>
        <w:spacing w:after="0" w:line="260" w:lineRule="atLeast"/>
        <w:jc w:val="both"/>
        <w:rPr>
          <w:rFonts w:cs="Arial"/>
        </w:rPr>
      </w:pPr>
      <w:r>
        <w:rPr>
          <w:rFonts w:cs="Arial"/>
        </w:rPr>
        <w:t>Člen določa vsebino pravilnika, in sicer opredeljuje, da se podatki z vprašalnikom zbirajo le za posebne enote vrednotenja. Posebne enote vrednotenja so v skladu z 2. členom ZMVN-1 del, ena ali več nepremičnin, ki se na podlagi kriterija najgospodarnejše rabe zaradi opravljanja dejavnosti bencinskih servisov, marin in pristanišč ter pridobivanja električne energije vrednotijo kot ena enota.</w:t>
      </w:r>
    </w:p>
    <w:p w14:paraId="6C906598" w14:textId="77777777" w:rsidR="00616AE7" w:rsidRDefault="00616AE7" w:rsidP="004F0AB5">
      <w:pPr>
        <w:spacing w:after="0" w:line="260" w:lineRule="atLeast"/>
        <w:jc w:val="both"/>
        <w:rPr>
          <w:rFonts w:cs="Arial"/>
        </w:rPr>
      </w:pPr>
    </w:p>
    <w:p w14:paraId="7491BF17" w14:textId="7A9664A3" w:rsidR="008A2920" w:rsidRDefault="00616AE7" w:rsidP="004F0AB5">
      <w:pPr>
        <w:spacing w:after="0" w:line="260" w:lineRule="atLeast"/>
        <w:jc w:val="both"/>
        <w:rPr>
          <w:rFonts w:cs="Arial"/>
          <w:u w:val="single"/>
        </w:rPr>
      </w:pPr>
      <w:r w:rsidRPr="00616AE7">
        <w:rPr>
          <w:rFonts w:cs="Arial"/>
          <w:u w:val="single"/>
        </w:rPr>
        <w:t xml:space="preserve">K 2. členu </w:t>
      </w:r>
    </w:p>
    <w:p w14:paraId="5D076EA7" w14:textId="49D1F1BC" w:rsidR="00500405" w:rsidRDefault="00616AE7" w:rsidP="004F0AB5">
      <w:pPr>
        <w:spacing w:after="0" w:line="260" w:lineRule="atLeast"/>
        <w:jc w:val="both"/>
        <w:rPr>
          <w:rFonts w:cs="Arial"/>
        </w:rPr>
      </w:pPr>
      <w:r>
        <w:rPr>
          <w:rFonts w:cs="Arial"/>
        </w:rPr>
        <w:t xml:space="preserve">Člen določa tiste podatke, ki se zberejo za vse posebne enote vrednotenja. Tako se zberejo podatki, ki posebno enoto vrednotenja identificirajo z vidika nepremičnin oziroma enot vrednotenja, ki to posebno enoto vrednotenja sestavljajo – zberejo se podatki o parcelah, stavbah in delih stavb, ki sestavljajo posebno enoto vrednotenja. Vsi elementi posebne enote vrednotenja se opredelijo z identifikacijsko številko parcele, stavbe ali dela stavbe, ki sicer velja za evidentiranje teh elementov v nepremičninskih evidencah v skladu z zakonom, ki </w:t>
      </w:r>
      <w:r w:rsidR="00500405">
        <w:rPr>
          <w:rFonts w:cs="Arial"/>
        </w:rPr>
        <w:t>ureja evidentiranje nepremičnin. Identifikacijska številka parcele je tako sestavljena iz številke katastrske občine in številke parcele, identifikacijska številka stavbe oziroma dela stavbe pa je sestavljena iz številke katastrske občine, številke stavbe in številke dela stavbe. Glede na to, da je sestava posebnih enot vrednotenja heterogena in že zakon določa, da lahko k posebni enoti vrednotenja sodi le del posamezne nepremičnine, je potrebno pri vsaki parceli, stav</w:t>
      </w:r>
      <w:r w:rsidR="0018695F">
        <w:rPr>
          <w:rFonts w:cs="Arial"/>
        </w:rPr>
        <w:t>b</w:t>
      </w:r>
      <w:r w:rsidR="00500405">
        <w:rPr>
          <w:rFonts w:cs="Arial"/>
        </w:rPr>
        <w:t>i ali delu stavbe določiti tudi delež v obliki površine, ki pripada posebni enoti vrednotenja.</w:t>
      </w:r>
    </w:p>
    <w:p w14:paraId="68E431B3" w14:textId="3E6F070F" w:rsidR="00500405" w:rsidRDefault="00500405" w:rsidP="004F0AB5">
      <w:pPr>
        <w:spacing w:after="0" w:line="260" w:lineRule="atLeast"/>
        <w:jc w:val="both"/>
        <w:rPr>
          <w:rFonts w:cs="Arial"/>
        </w:rPr>
      </w:pPr>
      <w:r>
        <w:rPr>
          <w:rFonts w:cs="Arial"/>
        </w:rPr>
        <w:t xml:space="preserve">Poleg podatkov o nepremičninah, ki identificirajo posebno enoto vrednotenja, pa se z vprašalnikom za vse posebne enote vrednotenja zberejo tudi podatki o osebi, ki opravlja dejavnost, pri čemer se pri naboru podatkov upošteva, ali je ta oseba fizična ali pravna oseba.  </w:t>
      </w:r>
    </w:p>
    <w:p w14:paraId="2FF48D7C" w14:textId="77777777" w:rsidR="00500405" w:rsidRDefault="00500405" w:rsidP="004F0AB5">
      <w:pPr>
        <w:spacing w:after="0" w:line="260" w:lineRule="atLeast"/>
        <w:jc w:val="both"/>
        <w:rPr>
          <w:rFonts w:cs="Arial"/>
        </w:rPr>
      </w:pPr>
    </w:p>
    <w:p w14:paraId="769FBB1F" w14:textId="53E4AD22" w:rsidR="00616AE7" w:rsidRDefault="00500405" w:rsidP="004F0AB5">
      <w:pPr>
        <w:spacing w:after="0" w:line="260" w:lineRule="atLeast"/>
        <w:jc w:val="both"/>
        <w:rPr>
          <w:rFonts w:cs="Arial"/>
          <w:u w:val="single"/>
        </w:rPr>
      </w:pPr>
      <w:r w:rsidRPr="00500405">
        <w:rPr>
          <w:rFonts w:cs="Arial"/>
          <w:u w:val="single"/>
        </w:rPr>
        <w:t>K 3. členu</w:t>
      </w:r>
      <w:r w:rsidR="00616AE7" w:rsidRPr="00500405">
        <w:rPr>
          <w:rFonts w:cs="Arial"/>
          <w:u w:val="single"/>
        </w:rPr>
        <w:t xml:space="preserve"> </w:t>
      </w:r>
    </w:p>
    <w:p w14:paraId="06D2C397" w14:textId="605F5AB4" w:rsidR="00500405" w:rsidRDefault="00500405" w:rsidP="004F0AB5">
      <w:pPr>
        <w:spacing w:after="0" w:line="260" w:lineRule="atLeast"/>
        <w:jc w:val="both"/>
        <w:rPr>
          <w:rFonts w:cs="Arial"/>
        </w:rPr>
      </w:pPr>
      <w:r>
        <w:rPr>
          <w:rFonts w:cs="Arial"/>
        </w:rPr>
        <w:t xml:space="preserve">Člen določa podatke, ki se zbirajo ločeno za tiste posebne enote vrednotenja, ki se vrednotijo s posameznim modelom vrednotenja. Pri vsaki skupini posebnih enot vrednotenja je namreč potrebno upoštevati značilnosti tiste skupine oziroma značilnosti dejavnosti, ki se na njih opravlja. </w:t>
      </w:r>
      <w:r w:rsidR="008A00CD">
        <w:rPr>
          <w:rFonts w:cs="Arial"/>
        </w:rPr>
        <w:t xml:space="preserve">V skladu z 9. členom ZMVN-1 se za vrednotenje posebnih enot vrednotenja uporablja na donosu zasnovan način vrednotenja, zato so temu prilagojeni tudi podatki, ki se za izvedbo vrednotenja zberejo – t.j. zlasti podatki, ki izkazujejo obseg opravljanja dejavnosti (tako sledi tudi iz osmega odstavka 7. člena ZMVN-1). Za objekte za proizvodnjo električne energije z močjo nad 50 kW in spremljajočih objektov, ki se v skladu s 5. členom ZMVN-1 vrednotijo z modelom za elektrarne, se zberejo podatki, vezani na proizvodnjo električne energije. Za marine, pristanišča in spremljajoče objekte, ki se v skladu s 5. členom ZMVN-1 vrednotijo z modelom za pristanišča, se zberejo podatki, vezani na </w:t>
      </w:r>
      <w:r w:rsidR="00EC7C7B">
        <w:rPr>
          <w:rFonts w:cs="Arial"/>
        </w:rPr>
        <w:t>izvajanje pristaniške dejavnosti</w:t>
      </w:r>
      <w:r w:rsidR="008A00CD">
        <w:rPr>
          <w:rFonts w:cs="Arial"/>
        </w:rPr>
        <w:t>.</w:t>
      </w:r>
      <w:r w:rsidR="00EC7C7B">
        <w:rPr>
          <w:rFonts w:cs="Arial"/>
        </w:rPr>
        <w:t xml:space="preserve"> Za bencinske servise in spremljajoče objekte, ki se v skladu s 5. členom ZMVN-1 vrednotijo z modelom za bencinske servise, se zberejo podatki, vezani na prodajo motornih goriv. </w:t>
      </w:r>
      <w:r w:rsidR="00AA08FF">
        <w:rPr>
          <w:rFonts w:cs="Arial"/>
        </w:rPr>
        <w:t xml:space="preserve">Podatki se lahko zberejo za tekoče in pretekla obdobja, saj se na ta način pri izvedbi vrednotenja nepremičnin </w:t>
      </w:r>
      <w:r w:rsidR="0018695F">
        <w:rPr>
          <w:rFonts w:cs="Arial"/>
        </w:rPr>
        <w:t xml:space="preserve">zmanjšajo vplivi nihanj v poslovanju v posameznih letih in </w:t>
      </w:r>
      <w:r w:rsidR="00AA08FF">
        <w:rPr>
          <w:rFonts w:cs="Arial"/>
        </w:rPr>
        <w:t xml:space="preserve">lahko </w:t>
      </w:r>
      <w:r w:rsidR="0018695F">
        <w:rPr>
          <w:rFonts w:cs="Arial"/>
        </w:rPr>
        <w:t xml:space="preserve">se </w:t>
      </w:r>
      <w:r w:rsidR="00AA08FF">
        <w:rPr>
          <w:rFonts w:cs="Arial"/>
        </w:rPr>
        <w:t>upoštevajo tudi trendi, ki posredno (preko obsega opravljanja dejavnosti) vplivajo tudi na vrednost posebnih enot vrednotenja.</w:t>
      </w:r>
    </w:p>
    <w:p w14:paraId="4294BC46" w14:textId="77777777" w:rsidR="00AA08FF" w:rsidRDefault="00AA08FF" w:rsidP="004F0AB5">
      <w:pPr>
        <w:spacing w:after="0" w:line="260" w:lineRule="atLeast"/>
        <w:jc w:val="both"/>
        <w:rPr>
          <w:rFonts w:cs="Arial"/>
        </w:rPr>
      </w:pPr>
    </w:p>
    <w:p w14:paraId="5F079E52" w14:textId="4251A846" w:rsidR="00AA08FF" w:rsidRDefault="00AA08FF" w:rsidP="004F0AB5">
      <w:pPr>
        <w:spacing w:after="0" w:line="260" w:lineRule="atLeast"/>
        <w:jc w:val="both"/>
        <w:rPr>
          <w:rFonts w:cs="Arial"/>
          <w:u w:val="single"/>
        </w:rPr>
      </w:pPr>
      <w:r w:rsidRPr="00AA08FF">
        <w:rPr>
          <w:rFonts w:cs="Arial"/>
          <w:u w:val="single"/>
        </w:rPr>
        <w:t>K 4. členu</w:t>
      </w:r>
    </w:p>
    <w:p w14:paraId="51B16244" w14:textId="46DD880F" w:rsidR="00AA08FF" w:rsidRPr="00AA08FF" w:rsidRDefault="00AA08FF" w:rsidP="004F0AB5">
      <w:pPr>
        <w:spacing w:after="0" w:line="260" w:lineRule="atLeast"/>
        <w:jc w:val="both"/>
        <w:rPr>
          <w:rFonts w:cs="Arial"/>
        </w:rPr>
      </w:pPr>
      <w:r>
        <w:rPr>
          <w:rFonts w:cs="Arial"/>
        </w:rPr>
        <w:t xml:space="preserve">Končna določba določa čas veljavnosti pravilnika. </w:t>
      </w:r>
    </w:p>
    <w:sectPr w:rsidR="00AA08FF" w:rsidRPr="00AA08F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CE55F" w14:textId="77777777" w:rsidR="00F914A7" w:rsidRDefault="00F914A7" w:rsidP="00EB7FD1">
      <w:pPr>
        <w:spacing w:after="0" w:line="240" w:lineRule="auto"/>
      </w:pPr>
      <w:r>
        <w:separator/>
      </w:r>
    </w:p>
  </w:endnote>
  <w:endnote w:type="continuationSeparator" w:id="0">
    <w:p w14:paraId="4ED4BF30" w14:textId="77777777" w:rsidR="00F914A7" w:rsidRDefault="00F914A7" w:rsidP="00EB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61299"/>
      <w:docPartObj>
        <w:docPartGallery w:val="Page Numbers (Bottom of Page)"/>
        <w:docPartUnique/>
      </w:docPartObj>
    </w:sdtPr>
    <w:sdtEndPr/>
    <w:sdtContent>
      <w:p w14:paraId="41F3479D" w14:textId="67C0CBC8" w:rsidR="00071557" w:rsidRDefault="00071557">
        <w:pPr>
          <w:pStyle w:val="Noga"/>
          <w:jc w:val="right"/>
        </w:pPr>
        <w:r>
          <w:fldChar w:fldCharType="begin"/>
        </w:r>
        <w:r>
          <w:instrText>PAGE   \* MERGEFORMAT</w:instrText>
        </w:r>
        <w:r>
          <w:fldChar w:fldCharType="separate"/>
        </w:r>
        <w:r w:rsidR="00D62975">
          <w:rPr>
            <w:noProof/>
          </w:rPr>
          <w:t>2</w:t>
        </w:r>
        <w:r>
          <w:fldChar w:fldCharType="end"/>
        </w:r>
      </w:p>
    </w:sdtContent>
  </w:sdt>
  <w:p w14:paraId="2D0F2907" w14:textId="77777777" w:rsidR="00071557" w:rsidRDefault="000715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C2B20" w14:textId="77777777" w:rsidR="00F914A7" w:rsidRDefault="00F914A7" w:rsidP="00EB7FD1">
      <w:pPr>
        <w:spacing w:after="0" w:line="240" w:lineRule="auto"/>
      </w:pPr>
      <w:r>
        <w:separator/>
      </w:r>
    </w:p>
  </w:footnote>
  <w:footnote w:type="continuationSeparator" w:id="0">
    <w:p w14:paraId="2FD3B0D5" w14:textId="77777777" w:rsidR="00F914A7" w:rsidRDefault="00F914A7" w:rsidP="00EB7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3B13"/>
    <w:multiLevelType w:val="hybridMultilevel"/>
    <w:tmpl w:val="7D4656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E92F7E"/>
    <w:multiLevelType w:val="hybridMultilevel"/>
    <w:tmpl w:val="8228BFC2"/>
    <w:lvl w:ilvl="0" w:tplc="76AC1A70">
      <w:start w:val="49"/>
      <w:numFmt w:val="bullet"/>
      <w:lvlText w:val=""/>
      <w:lvlJc w:val="left"/>
      <w:pPr>
        <w:ind w:left="1322" w:hanging="360"/>
      </w:pPr>
      <w:rPr>
        <w:rFonts w:ascii="Symbol" w:eastAsia="Times New Roman" w:hAnsi="Symbol" w:hint="default"/>
      </w:rPr>
    </w:lvl>
    <w:lvl w:ilvl="1" w:tplc="04240003" w:tentative="1">
      <w:start w:val="1"/>
      <w:numFmt w:val="bullet"/>
      <w:lvlText w:val="o"/>
      <w:lvlJc w:val="left"/>
      <w:pPr>
        <w:ind w:left="2042" w:hanging="360"/>
      </w:pPr>
      <w:rPr>
        <w:rFonts w:ascii="Courier New" w:hAnsi="Courier New" w:cs="Courier New" w:hint="default"/>
      </w:rPr>
    </w:lvl>
    <w:lvl w:ilvl="2" w:tplc="04240005" w:tentative="1">
      <w:start w:val="1"/>
      <w:numFmt w:val="bullet"/>
      <w:lvlText w:val=""/>
      <w:lvlJc w:val="left"/>
      <w:pPr>
        <w:ind w:left="2762" w:hanging="360"/>
      </w:pPr>
      <w:rPr>
        <w:rFonts w:ascii="Wingdings" w:hAnsi="Wingdings" w:hint="default"/>
      </w:rPr>
    </w:lvl>
    <w:lvl w:ilvl="3" w:tplc="04240001" w:tentative="1">
      <w:start w:val="1"/>
      <w:numFmt w:val="bullet"/>
      <w:lvlText w:val=""/>
      <w:lvlJc w:val="left"/>
      <w:pPr>
        <w:ind w:left="3482" w:hanging="360"/>
      </w:pPr>
      <w:rPr>
        <w:rFonts w:ascii="Symbol" w:hAnsi="Symbol" w:hint="default"/>
      </w:rPr>
    </w:lvl>
    <w:lvl w:ilvl="4" w:tplc="04240003" w:tentative="1">
      <w:start w:val="1"/>
      <w:numFmt w:val="bullet"/>
      <w:lvlText w:val="o"/>
      <w:lvlJc w:val="left"/>
      <w:pPr>
        <w:ind w:left="4202" w:hanging="360"/>
      </w:pPr>
      <w:rPr>
        <w:rFonts w:ascii="Courier New" w:hAnsi="Courier New" w:cs="Courier New" w:hint="default"/>
      </w:rPr>
    </w:lvl>
    <w:lvl w:ilvl="5" w:tplc="04240005" w:tentative="1">
      <w:start w:val="1"/>
      <w:numFmt w:val="bullet"/>
      <w:lvlText w:val=""/>
      <w:lvlJc w:val="left"/>
      <w:pPr>
        <w:ind w:left="4922" w:hanging="360"/>
      </w:pPr>
      <w:rPr>
        <w:rFonts w:ascii="Wingdings" w:hAnsi="Wingdings" w:hint="default"/>
      </w:rPr>
    </w:lvl>
    <w:lvl w:ilvl="6" w:tplc="04240001" w:tentative="1">
      <w:start w:val="1"/>
      <w:numFmt w:val="bullet"/>
      <w:lvlText w:val=""/>
      <w:lvlJc w:val="left"/>
      <w:pPr>
        <w:ind w:left="5642" w:hanging="360"/>
      </w:pPr>
      <w:rPr>
        <w:rFonts w:ascii="Symbol" w:hAnsi="Symbol" w:hint="default"/>
      </w:rPr>
    </w:lvl>
    <w:lvl w:ilvl="7" w:tplc="04240003" w:tentative="1">
      <w:start w:val="1"/>
      <w:numFmt w:val="bullet"/>
      <w:lvlText w:val="o"/>
      <w:lvlJc w:val="left"/>
      <w:pPr>
        <w:ind w:left="6362" w:hanging="360"/>
      </w:pPr>
      <w:rPr>
        <w:rFonts w:ascii="Courier New" w:hAnsi="Courier New" w:cs="Courier New" w:hint="default"/>
      </w:rPr>
    </w:lvl>
    <w:lvl w:ilvl="8" w:tplc="04240005" w:tentative="1">
      <w:start w:val="1"/>
      <w:numFmt w:val="bullet"/>
      <w:lvlText w:val=""/>
      <w:lvlJc w:val="left"/>
      <w:pPr>
        <w:ind w:left="7082" w:hanging="360"/>
      </w:pPr>
      <w:rPr>
        <w:rFonts w:ascii="Wingdings" w:hAnsi="Wingdings" w:hint="default"/>
      </w:rPr>
    </w:lvl>
  </w:abstractNum>
  <w:abstractNum w:abstractNumId="2" w15:restartNumberingAfterBreak="0">
    <w:nsid w:val="40717107"/>
    <w:multiLevelType w:val="hybridMultilevel"/>
    <w:tmpl w:val="50EAA8BA"/>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15:restartNumberingAfterBreak="0">
    <w:nsid w:val="555A345A"/>
    <w:multiLevelType w:val="hybridMultilevel"/>
    <w:tmpl w:val="2B7A38BA"/>
    <w:lvl w:ilvl="0" w:tplc="E33AA7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8BB3DD1"/>
    <w:multiLevelType w:val="hybridMultilevel"/>
    <w:tmpl w:val="9614F1EE"/>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85F2EAB"/>
    <w:multiLevelType w:val="hybridMultilevel"/>
    <w:tmpl w:val="09BAA922"/>
    <w:lvl w:ilvl="0" w:tplc="76AC1A70">
      <w:start w:val="49"/>
      <w:numFmt w:val="bullet"/>
      <w:lvlText w:val=""/>
      <w:lvlJc w:val="left"/>
      <w:pPr>
        <w:ind w:left="601" w:hanging="360"/>
      </w:pPr>
      <w:rPr>
        <w:rFonts w:ascii="Symbol" w:eastAsia="Times New Roman" w:hAnsi="Symbol" w:hint="default"/>
      </w:rPr>
    </w:lvl>
    <w:lvl w:ilvl="1" w:tplc="04240003" w:tentative="1">
      <w:start w:val="1"/>
      <w:numFmt w:val="bullet"/>
      <w:lvlText w:val="o"/>
      <w:lvlJc w:val="left"/>
      <w:pPr>
        <w:ind w:left="1321" w:hanging="360"/>
      </w:pPr>
      <w:rPr>
        <w:rFonts w:ascii="Courier New" w:hAnsi="Courier New" w:cs="Courier New" w:hint="default"/>
      </w:rPr>
    </w:lvl>
    <w:lvl w:ilvl="2" w:tplc="04240005" w:tentative="1">
      <w:start w:val="1"/>
      <w:numFmt w:val="bullet"/>
      <w:lvlText w:val=""/>
      <w:lvlJc w:val="left"/>
      <w:pPr>
        <w:ind w:left="2041" w:hanging="360"/>
      </w:pPr>
      <w:rPr>
        <w:rFonts w:ascii="Wingdings" w:hAnsi="Wingdings" w:hint="default"/>
      </w:rPr>
    </w:lvl>
    <w:lvl w:ilvl="3" w:tplc="04240001" w:tentative="1">
      <w:start w:val="1"/>
      <w:numFmt w:val="bullet"/>
      <w:lvlText w:val=""/>
      <w:lvlJc w:val="left"/>
      <w:pPr>
        <w:ind w:left="2761" w:hanging="360"/>
      </w:pPr>
      <w:rPr>
        <w:rFonts w:ascii="Symbol" w:hAnsi="Symbol" w:hint="default"/>
      </w:rPr>
    </w:lvl>
    <w:lvl w:ilvl="4" w:tplc="04240003" w:tentative="1">
      <w:start w:val="1"/>
      <w:numFmt w:val="bullet"/>
      <w:lvlText w:val="o"/>
      <w:lvlJc w:val="left"/>
      <w:pPr>
        <w:ind w:left="3481" w:hanging="360"/>
      </w:pPr>
      <w:rPr>
        <w:rFonts w:ascii="Courier New" w:hAnsi="Courier New" w:cs="Courier New" w:hint="default"/>
      </w:rPr>
    </w:lvl>
    <w:lvl w:ilvl="5" w:tplc="04240005" w:tentative="1">
      <w:start w:val="1"/>
      <w:numFmt w:val="bullet"/>
      <w:lvlText w:val=""/>
      <w:lvlJc w:val="left"/>
      <w:pPr>
        <w:ind w:left="4201" w:hanging="360"/>
      </w:pPr>
      <w:rPr>
        <w:rFonts w:ascii="Wingdings" w:hAnsi="Wingdings" w:hint="default"/>
      </w:rPr>
    </w:lvl>
    <w:lvl w:ilvl="6" w:tplc="04240001" w:tentative="1">
      <w:start w:val="1"/>
      <w:numFmt w:val="bullet"/>
      <w:lvlText w:val=""/>
      <w:lvlJc w:val="left"/>
      <w:pPr>
        <w:ind w:left="4921" w:hanging="360"/>
      </w:pPr>
      <w:rPr>
        <w:rFonts w:ascii="Symbol" w:hAnsi="Symbol" w:hint="default"/>
      </w:rPr>
    </w:lvl>
    <w:lvl w:ilvl="7" w:tplc="04240003" w:tentative="1">
      <w:start w:val="1"/>
      <w:numFmt w:val="bullet"/>
      <w:lvlText w:val="o"/>
      <w:lvlJc w:val="left"/>
      <w:pPr>
        <w:ind w:left="5641" w:hanging="360"/>
      </w:pPr>
      <w:rPr>
        <w:rFonts w:ascii="Courier New" w:hAnsi="Courier New" w:cs="Courier New" w:hint="default"/>
      </w:rPr>
    </w:lvl>
    <w:lvl w:ilvl="8" w:tplc="04240005" w:tentative="1">
      <w:start w:val="1"/>
      <w:numFmt w:val="bullet"/>
      <w:lvlText w:val=""/>
      <w:lvlJc w:val="left"/>
      <w:pPr>
        <w:ind w:left="6361"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1B"/>
    <w:rsid w:val="0001021D"/>
    <w:rsid w:val="00013C95"/>
    <w:rsid w:val="000157F7"/>
    <w:rsid w:val="00060AB9"/>
    <w:rsid w:val="00060E7C"/>
    <w:rsid w:val="00071557"/>
    <w:rsid w:val="000B46E9"/>
    <w:rsid w:val="000D4648"/>
    <w:rsid w:val="000F6C60"/>
    <w:rsid w:val="000F77F0"/>
    <w:rsid w:val="00127ABF"/>
    <w:rsid w:val="001474AE"/>
    <w:rsid w:val="001549FC"/>
    <w:rsid w:val="001639D7"/>
    <w:rsid w:val="00163DE4"/>
    <w:rsid w:val="0018695F"/>
    <w:rsid w:val="00192734"/>
    <w:rsid w:val="00193B00"/>
    <w:rsid w:val="001E704F"/>
    <w:rsid w:val="001F424A"/>
    <w:rsid w:val="00206F6D"/>
    <w:rsid w:val="00211EAF"/>
    <w:rsid w:val="00231F5E"/>
    <w:rsid w:val="00243F2D"/>
    <w:rsid w:val="00261B71"/>
    <w:rsid w:val="0026213E"/>
    <w:rsid w:val="00281440"/>
    <w:rsid w:val="00295891"/>
    <w:rsid w:val="002C613C"/>
    <w:rsid w:val="002D5E36"/>
    <w:rsid w:val="003472CA"/>
    <w:rsid w:val="003502ED"/>
    <w:rsid w:val="0036725F"/>
    <w:rsid w:val="0037440D"/>
    <w:rsid w:val="00396421"/>
    <w:rsid w:val="003E2929"/>
    <w:rsid w:val="003F79F9"/>
    <w:rsid w:val="0041241D"/>
    <w:rsid w:val="004152DA"/>
    <w:rsid w:val="0042738B"/>
    <w:rsid w:val="00437E3F"/>
    <w:rsid w:val="0044570B"/>
    <w:rsid w:val="004458F5"/>
    <w:rsid w:val="00456B77"/>
    <w:rsid w:val="00466FD5"/>
    <w:rsid w:val="00482890"/>
    <w:rsid w:val="00485B89"/>
    <w:rsid w:val="004B0E79"/>
    <w:rsid w:val="004D161B"/>
    <w:rsid w:val="004F0AB5"/>
    <w:rsid w:val="00500405"/>
    <w:rsid w:val="005010ED"/>
    <w:rsid w:val="005060AC"/>
    <w:rsid w:val="00514F8C"/>
    <w:rsid w:val="00527041"/>
    <w:rsid w:val="0052796C"/>
    <w:rsid w:val="005320D2"/>
    <w:rsid w:val="00582934"/>
    <w:rsid w:val="005A3A20"/>
    <w:rsid w:val="005C548B"/>
    <w:rsid w:val="005E1E92"/>
    <w:rsid w:val="005F2CD9"/>
    <w:rsid w:val="00613CE7"/>
    <w:rsid w:val="00616AE7"/>
    <w:rsid w:val="00627FB6"/>
    <w:rsid w:val="00631A2B"/>
    <w:rsid w:val="00653D2C"/>
    <w:rsid w:val="00656CBE"/>
    <w:rsid w:val="00693343"/>
    <w:rsid w:val="006C4DC4"/>
    <w:rsid w:val="006C755E"/>
    <w:rsid w:val="00710B79"/>
    <w:rsid w:val="0071129B"/>
    <w:rsid w:val="0071180A"/>
    <w:rsid w:val="00722A85"/>
    <w:rsid w:val="007618C8"/>
    <w:rsid w:val="00790D99"/>
    <w:rsid w:val="007A4EF4"/>
    <w:rsid w:val="007B2D7E"/>
    <w:rsid w:val="007E44E0"/>
    <w:rsid w:val="007E5725"/>
    <w:rsid w:val="00822CCB"/>
    <w:rsid w:val="00890E20"/>
    <w:rsid w:val="008A00CD"/>
    <w:rsid w:val="008A1EBE"/>
    <w:rsid w:val="008A2920"/>
    <w:rsid w:val="008B0111"/>
    <w:rsid w:val="008D53D4"/>
    <w:rsid w:val="008F5147"/>
    <w:rsid w:val="00916389"/>
    <w:rsid w:val="00921C38"/>
    <w:rsid w:val="0095259C"/>
    <w:rsid w:val="00953338"/>
    <w:rsid w:val="00957345"/>
    <w:rsid w:val="009E07D2"/>
    <w:rsid w:val="00A05403"/>
    <w:rsid w:val="00A828E5"/>
    <w:rsid w:val="00A935CD"/>
    <w:rsid w:val="00AA08FF"/>
    <w:rsid w:val="00AA2A97"/>
    <w:rsid w:val="00AF765E"/>
    <w:rsid w:val="00B122A3"/>
    <w:rsid w:val="00B2566F"/>
    <w:rsid w:val="00B43B32"/>
    <w:rsid w:val="00B576F3"/>
    <w:rsid w:val="00BA19AC"/>
    <w:rsid w:val="00BC292B"/>
    <w:rsid w:val="00BC7313"/>
    <w:rsid w:val="00BC7F23"/>
    <w:rsid w:val="00BD0A9F"/>
    <w:rsid w:val="00C00B9A"/>
    <w:rsid w:val="00C02E07"/>
    <w:rsid w:val="00C201DE"/>
    <w:rsid w:val="00C66425"/>
    <w:rsid w:val="00C905EC"/>
    <w:rsid w:val="00C925AB"/>
    <w:rsid w:val="00CA0145"/>
    <w:rsid w:val="00CA05BC"/>
    <w:rsid w:val="00CA4400"/>
    <w:rsid w:val="00CD6DC4"/>
    <w:rsid w:val="00D23D35"/>
    <w:rsid w:val="00D25CE0"/>
    <w:rsid w:val="00D3063D"/>
    <w:rsid w:val="00D315F4"/>
    <w:rsid w:val="00D454A6"/>
    <w:rsid w:val="00D4577F"/>
    <w:rsid w:val="00D624AB"/>
    <w:rsid w:val="00D62975"/>
    <w:rsid w:val="00D8133E"/>
    <w:rsid w:val="00DC0A15"/>
    <w:rsid w:val="00DD0C1C"/>
    <w:rsid w:val="00E221F1"/>
    <w:rsid w:val="00E64924"/>
    <w:rsid w:val="00E82E1E"/>
    <w:rsid w:val="00EB7FD1"/>
    <w:rsid w:val="00EC7C7B"/>
    <w:rsid w:val="00ED3342"/>
    <w:rsid w:val="00ED3503"/>
    <w:rsid w:val="00ED5F2E"/>
    <w:rsid w:val="00F570C8"/>
    <w:rsid w:val="00F6622E"/>
    <w:rsid w:val="00F914A7"/>
    <w:rsid w:val="00FD5B10"/>
    <w:rsid w:val="00FE7F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488C"/>
  <w15:docId w15:val="{029B17B2-FCB3-4E2C-9D3E-ED9EB194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93343"/>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458F5"/>
    <w:pPr>
      <w:ind w:left="720"/>
      <w:contextualSpacing/>
    </w:pPr>
  </w:style>
  <w:style w:type="paragraph" w:styleId="Glava">
    <w:name w:val="header"/>
    <w:basedOn w:val="Navaden"/>
    <w:link w:val="GlavaZnak"/>
    <w:uiPriority w:val="99"/>
    <w:unhideWhenUsed/>
    <w:rsid w:val="00EB7FD1"/>
    <w:pPr>
      <w:tabs>
        <w:tab w:val="center" w:pos="4536"/>
        <w:tab w:val="right" w:pos="9072"/>
      </w:tabs>
      <w:spacing w:after="0" w:line="240" w:lineRule="auto"/>
    </w:pPr>
  </w:style>
  <w:style w:type="character" w:customStyle="1" w:styleId="GlavaZnak">
    <w:name w:val="Glava Znak"/>
    <w:basedOn w:val="Privzetapisavaodstavka"/>
    <w:link w:val="Glava"/>
    <w:uiPriority w:val="99"/>
    <w:rsid w:val="00EB7FD1"/>
    <w:rPr>
      <w:rFonts w:ascii="Arial" w:hAnsi="Arial"/>
    </w:rPr>
  </w:style>
  <w:style w:type="paragraph" w:styleId="Noga">
    <w:name w:val="footer"/>
    <w:basedOn w:val="Navaden"/>
    <w:link w:val="NogaZnak"/>
    <w:uiPriority w:val="99"/>
    <w:unhideWhenUsed/>
    <w:rsid w:val="00EB7FD1"/>
    <w:pPr>
      <w:tabs>
        <w:tab w:val="center" w:pos="4536"/>
        <w:tab w:val="right" w:pos="9072"/>
      </w:tabs>
      <w:spacing w:after="0" w:line="240" w:lineRule="auto"/>
    </w:pPr>
  </w:style>
  <w:style w:type="character" w:customStyle="1" w:styleId="NogaZnak">
    <w:name w:val="Noga Znak"/>
    <w:basedOn w:val="Privzetapisavaodstavka"/>
    <w:link w:val="Noga"/>
    <w:uiPriority w:val="99"/>
    <w:rsid w:val="00EB7FD1"/>
    <w:rPr>
      <w:rFonts w:ascii="Arial" w:hAnsi="Arial"/>
    </w:rPr>
  </w:style>
  <w:style w:type="paragraph" w:styleId="Besedilooblaka">
    <w:name w:val="Balloon Text"/>
    <w:basedOn w:val="Navaden"/>
    <w:link w:val="BesedilooblakaZnak"/>
    <w:uiPriority w:val="99"/>
    <w:semiHidden/>
    <w:unhideWhenUsed/>
    <w:rsid w:val="00EB7F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B7FD1"/>
    <w:rPr>
      <w:rFonts w:ascii="Tahoma" w:hAnsi="Tahoma" w:cs="Tahoma"/>
      <w:sz w:val="16"/>
      <w:szCs w:val="16"/>
    </w:rPr>
  </w:style>
  <w:style w:type="character" w:styleId="Pripombasklic">
    <w:name w:val="annotation reference"/>
    <w:basedOn w:val="Privzetapisavaodstavka"/>
    <w:uiPriority w:val="99"/>
    <w:semiHidden/>
    <w:unhideWhenUsed/>
    <w:rsid w:val="008F5147"/>
    <w:rPr>
      <w:sz w:val="16"/>
      <w:szCs w:val="16"/>
    </w:rPr>
  </w:style>
  <w:style w:type="paragraph" w:styleId="Pripombabesedilo">
    <w:name w:val="annotation text"/>
    <w:basedOn w:val="Navaden"/>
    <w:link w:val="PripombabesediloZnak"/>
    <w:uiPriority w:val="99"/>
    <w:semiHidden/>
    <w:unhideWhenUsed/>
    <w:rsid w:val="008F514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F5147"/>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8F5147"/>
    <w:rPr>
      <w:b/>
      <w:bCs/>
    </w:rPr>
  </w:style>
  <w:style w:type="character" w:customStyle="1" w:styleId="ZadevapripombeZnak">
    <w:name w:val="Zadeva pripombe Znak"/>
    <w:basedOn w:val="PripombabesediloZnak"/>
    <w:link w:val="Zadevapripombe"/>
    <w:uiPriority w:val="99"/>
    <w:semiHidden/>
    <w:rsid w:val="008F514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21727">
      <w:bodyDiv w:val="1"/>
      <w:marLeft w:val="0"/>
      <w:marRight w:val="0"/>
      <w:marTop w:val="0"/>
      <w:marBottom w:val="0"/>
      <w:divBdr>
        <w:top w:val="none" w:sz="0" w:space="0" w:color="auto"/>
        <w:left w:val="none" w:sz="0" w:space="0" w:color="auto"/>
        <w:bottom w:val="none" w:sz="0" w:space="0" w:color="auto"/>
        <w:right w:val="none" w:sz="0" w:space="0" w:color="auto"/>
      </w:divBdr>
    </w:div>
    <w:div w:id="1168792499">
      <w:bodyDiv w:val="1"/>
      <w:marLeft w:val="0"/>
      <w:marRight w:val="0"/>
      <w:marTop w:val="0"/>
      <w:marBottom w:val="0"/>
      <w:divBdr>
        <w:top w:val="none" w:sz="0" w:space="0" w:color="auto"/>
        <w:left w:val="none" w:sz="0" w:space="0" w:color="auto"/>
        <w:bottom w:val="none" w:sz="0" w:space="0" w:color="auto"/>
        <w:right w:val="none" w:sz="0" w:space="0" w:color="auto"/>
      </w:divBdr>
    </w:div>
    <w:div w:id="1947342230">
      <w:bodyDiv w:val="1"/>
      <w:marLeft w:val="0"/>
      <w:marRight w:val="0"/>
      <w:marTop w:val="0"/>
      <w:marBottom w:val="0"/>
      <w:divBdr>
        <w:top w:val="none" w:sz="0" w:space="0" w:color="auto"/>
        <w:left w:val="none" w:sz="0" w:space="0" w:color="auto"/>
        <w:bottom w:val="none" w:sz="0" w:space="0" w:color="auto"/>
        <w:right w:val="none" w:sz="0" w:space="0" w:color="auto"/>
      </w:divBdr>
    </w:div>
    <w:div w:id="2128621287">
      <w:bodyDiv w:val="1"/>
      <w:marLeft w:val="0"/>
      <w:marRight w:val="0"/>
      <w:marTop w:val="0"/>
      <w:marBottom w:val="0"/>
      <w:divBdr>
        <w:top w:val="none" w:sz="0" w:space="0" w:color="auto"/>
        <w:left w:val="none" w:sz="0" w:space="0" w:color="auto"/>
        <w:bottom w:val="none" w:sz="0" w:space="0" w:color="auto"/>
        <w:right w:val="none" w:sz="0" w:space="0" w:color="auto"/>
      </w:divBdr>
      <w:divsChild>
        <w:div w:id="1346203252">
          <w:marLeft w:val="0"/>
          <w:marRight w:val="0"/>
          <w:marTop w:val="0"/>
          <w:marBottom w:val="0"/>
          <w:divBdr>
            <w:top w:val="none" w:sz="0" w:space="0" w:color="auto"/>
            <w:left w:val="none" w:sz="0" w:space="0" w:color="auto"/>
            <w:bottom w:val="none" w:sz="0" w:space="0" w:color="auto"/>
            <w:right w:val="none" w:sz="0" w:space="0" w:color="auto"/>
          </w:divBdr>
          <w:divsChild>
            <w:div w:id="1725593770">
              <w:marLeft w:val="0"/>
              <w:marRight w:val="0"/>
              <w:marTop w:val="0"/>
              <w:marBottom w:val="0"/>
              <w:divBdr>
                <w:top w:val="none" w:sz="0" w:space="0" w:color="auto"/>
                <w:left w:val="none" w:sz="0" w:space="0" w:color="auto"/>
                <w:bottom w:val="none" w:sz="0" w:space="0" w:color="auto"/>
                <w:right w:val="none" w:sz="0" w:space="0" w:color="auto"/>
              </w:divBdr>
              <w:divsChild>
                <w:div w:id="1460758478">
                  <w:marLeft w:val="-225"/>
                  <w:marRight w:val="-225"/>
                  <w:marTop w:val="0"/>
                  <w:marBottom w:val="0"/>
                  <w:divBdr>
                    <w:top w:val="none" w:sz="0" w:space="0" w:color="auto"/>
                    <w:left w:val="none" w:sz="0" w:space="0" w:color="auto"/>
                    <w:bottom w:val="none" w:sz="0" w:space="0" w:color="auto"/>
                    <w:right w:val="none" w:sz="0" w:space="0" w:color="auto"/>
                  </w:divBdr>
                  <w:divsChild>
                    <w:div w:id="195655444">
                      <w:marLeft w:val="0"/>
                      <w:marRight w:val="0"/>
                      <w:marTop w:val="0"/>
                      <w:marBottom w:val="0"/>
                      <w:divBdr>
                        <w:top w:val="none" w:sz="0" w:space="0" w:color="auto"/>
                        <w:left w:val="none" w:sz="0" w:space="0" w:color="auto"/>
                        <w:bottom w:val="none" w:sz="0" w:space="0" w:color="auto"/>
                        <w:right w:val="none" w:sz="0" w:space="0" w:color="auto"/>
                      </w:divBdr>
                      <w:divsChild>
                        <w:div w:id="1507671071">
                          <w:marLeft w:val="0"/>
                          <w:marRight w:val="0"/>
                          <w:marTop w:val="0"/>
                          <w:marBottom w:val="0"/>
                          <w:divBdr>
                            <w:top w:val="none" w:sz="0" w:space="0" w:color="auto"/>
                            <w:left w:val="none" w:sz="0" w:space="0" w:color="auto"/>
                            <w:bottom w:val="none" w:sz="0" w:space="0" w:color="auto"/>
                            <w:right w:val="none" w:sz="0" w:space="0" w:color="auto"/>
                          </w:divBdr>
                          <w:divsChild>
                            <w:div w:id="1616523763">
                              <w:marLeft w:val="-225"/>
                              <w:marRight w:val="-225"/>
                              <w:marTop w:val="0"/>
                              <w:marBottom w:val="0"/>
                              <w:divBdr>
                                <w:top w:val="none" w:sz="0" w:space="0" w:color="auto"/>
                                <w:left w:val="none" w:sz="0" w:space="0" w:color="auto"/>
                                <w:bottom w:val="none" w:sz="0" w:space="0" w:color="auto"/>
                                <w:right w:val="none" w:sz="0" w:space="0" w:color="auto"/>
                              </w:divBdr>
                              <w:divsChild>
                                <w:div w:id="1446002952">
                                  <w:marLeft w:val="0"/>
                                  <w:marRight w:val="0"/>
                                  <w:marTop w:val="0"/>
                                  <w:marBottom w:val="0"/>
                                  <w:divBdr>
                                    <w:top w:val="none" w:sz="0" w:space="0" w:color="auto"/>
                                    <w:left w:val="none" w:sz="0" w:space="0" w:color="auto"/>
                                    <w:bottom w:val="none" w:sz="0" w:space="0" w:color="auto"/>
                                    <w:right w:val="none" w:sz="0" w:space="0" w:color="auto"/>
                                  </w:divBdr>
                                  <w:divsChild>
                                    <w:div w:id="17122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1243</Words>
  <Characters>7091</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osnutek, 12. 12. 2016</vt:lpstr>
      <vt:lpstr>osnutek, 12. 12. 2016</vt:lpstr>
    </vt:vector>
  </TitlesOfParts>
  <Company>MFRS</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12. 12. 2016</dc:title>
  <dc:creator>ŠK</dc:creator>
  <cp:lastModifiedBy>smodis</cp:lastModifiedBy>
  <cp:revision>3</cp:revision>
  <cp:lastPrinted>2016-12-12T09:29:00Z</cp:lastPrinted>
  <dcterms:created xsi:type="dcterms:W3CDTF">2018-03-27T15:18:00Z</dcterms:created>
  <dcterms:modified xsi:type="dcterms:W3CDTF">2018-03-27T15:19:00Z</dcterms:modified>
</cp:coreProperties>
</file>