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8A5BB" w14:textId="77777777" w:rsidR="00587A2C" w:rsidRPr="009E4BCC" w:rsidRDefault="00587A2C" w:rsidP="00587A2C">
      <w:pPr>
        <w:rPr>
          <w:rFonts w:ascii="Arial" w:hAnsi="Arial" w:cs="Arial"/>
          <w:b/>
        </w:rPr>
      </w:pPr>
      <w:r w:rsidRPr="009E4BCC">
        <w:rPr>
          <w:rFonts w:ascii="Arial" w:hAnsi="Arial" w:cs="Arial"/>
          <w:b/>
        </w:rPr>
        <w:t>Priloga 1:</w:t>
      </w:r>
    </w:p>
    <w:p w14:paraId="3A9AC41C" w14:textId="77777777" w:rsidR="00587A2C" w:rsidRDefault="00587A2C" w:rsidP="00587A2C">
      <w:pPr>
        <w:rPr>
          <w:sz w:val="18"/>
          <w:szCs w:val="18"/>
        </w:rPr>
      </w:pPr>
    </w:p>
    <w:p w14:paraId="5E624375" w14:textId="77777777" w:rsidR="00236E17" w:rsidRDefault="00587A2C" w:rsidP="00587A2C">
      <w:r>
        <w:rPr>
          <w:rFonts w:ascii="Calibri" w:hAnsi="Calibri"/>
          <w:b/>
          <w:bCs/>
        </w:rPr>
        <w:t>Osnutek seznama posebnih okoliščin</w:t>
      </w:r>
    </w:p>
    <w:p w14:paraId="7AC2BECF" w14:textId="77777777" w:rsidR="00587A2C" w:rsidRDefault="00587A2C"/>
    <w:tbl>
      <w:tblPr>
        <w:tblW w:w="184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2769"/>
        <w:gridCol w:w="5615"/>
        <w:gridCol w:w="519"/>
        <w:gridCol w:w="497"/>
        <w:gridCol w:w="497"/>
        <w:gridCol w:w="509"/>
        <w:gridCol w:w="497"/>
        <w:gridCol w:w="497"/>
        <w:gridCol w:w="565"/>
        <w:gridCol w:w="567"/>
        <w:gridCol w:w="567"/>
        <w:gridCol w:w="567"/>
        <w:gridCol w:w="497"/>
        <w:gridCol w:w="605"/>
        <w:gridCol w:w="567"/>
        <w:gridCol w:w="567"/>
        <w:gridCol w:w="578"/>
        <w:gridCol w:w="452"/>
        <w:gridCol w:w="452"/>
        <w:gridCol w:w="452"/>
      </w:tblGrid>
      <w:tr w:rsidR="00587A2C" w:rsidRPr="00587A2C" w14:paraId="3A60B079" w14:textId="77777777" w:rsidTr="00BE78B9">
        <w:trPr>
          <w:trHeight w:val="360"/>
          <w:tblHeader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0D34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SIFRA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3D0F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NAZIV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558FE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OPIS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3DB85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CAS_TRAJANJA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7E094F96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463F1844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7D92BC65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01526AC7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51D6FFFA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4026EFB1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30C61E63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3B888193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7EDFB46C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67199323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5B2E81F3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223C381F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7B41C5DD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2550AFDD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3777F70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45AAD6AF" w14:textId="77777777" w:rsidTr="00BE78B9">
        <w:trPr>
          <w:trHeight w:val="876"/>
          <w:tblHeader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E20F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b/>
                <w:bCs/>
                <w:lang w:eastAsia="sl-SI"/>
              </w:rPr>
              <w:t>šifra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1399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b/>
                <w:bCs/>
                <w:lang w:eastAsia="sl-SI"/>
              </w:rPr>
              <w:t>NAZIV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8643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b/>
                <w:bCs/>
                <w:lang w:eastAsia="sl-SI"/>
              </w:rPr>
              <w:t>OPIS POSEBNE OKOLIŠČINE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7C3A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b/>
                <w:bCs/>
                <w:lang w:eastAsia="sl-SI"/>
              </w:rPr>
              <w:t>ČAS (let)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A848647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  <w:t>STA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9201708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  <w:t>HIS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F203B16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  <w:t>GAR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287A924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  <w:t>PPP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9707E26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  <w:t xml:space="preserve">PPL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BA48139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  <w:t>SDP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0FE46A5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  <w:t>IND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5E8E0D0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  <w:t>INP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205603B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  <w:t>KDS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3499B04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  <w:t xml:space="preserve">TUR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9CCAB4A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  <w:t>DRZ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BD4109F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  <w:t>KME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18E9355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  <w:t>GOZ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5B6E931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  <w:t>STZ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51CB0F3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  <w:t>PNB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8BD444C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  <w:t>PNE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FF218B6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l-SI"/>
              </w:rPr>
              <w:t>PNP</w:t>
            </w:r>
          </w:p>
        </w:tc>
      </w:tr>
      <w:tr w:rsidR="00587A2C" w:rsidRPr="00587A2C" w14:paraId="6350E231" w14:textId="77777777" w:rsidTr="00BE78B9">
        <w:trPr>
          <w:trHeight w:val="57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C5E0" w14:textId="7216D114" w:rsidR="00587A2C" w:rsidRPr="00587A2C" w:rsidRDefault="00587A2C" w:rsidP="00587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F519" w14:textId="705FEC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87F0" w14:textId="2AFF8958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E372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1D95D91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AE72C4A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19AD798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C4DC259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E257640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E362548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E40FF32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E8AD1F1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EA4EDE7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847B193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1743B95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31E7B2C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3684218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1BC625D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3168D35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3341B2B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103368F" w14:textId="77777777" w:rsidR="00587A2C" w:rsidRPr="00587A2C" w:rsidRDefault="00587A2C" w:rsidP="00587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6F0D9250" w14:textId="77777777" w:rsidTr="00BE78B9">
        <w:trPr>
          <w:trHeight w:val="28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4E43" w14:textId="77777777" w:rsidR="00587A2C" w:rsidRPr="00587A2C" w:rsidRDefault="00587A2C" w:rsidP="00587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101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3FB9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Energetsko potraten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7ED0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Veljavna energetska izkaznica RAZRED G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CCE7" w14:textId="77777777" w:rsidR="00587A2C" w:rsidRPr="00587A2C" w:rsidRDefault="00587A2C" w:rsidP="00587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7D81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918E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F0AB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A22A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217E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988B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E80F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5FF1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67E1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1FF2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4E79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3D56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1417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75F9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8D19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E866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75AF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59E742C8" w14:textId="77777777" w:rsidTr="00BE78B9">
        <w:trPr>
          <w:trHeight w:val="57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FBCC" w14:textId="77777777" w:rsidR="00587A2C" w:rsidRPr="00587A2C" w:rsidRDefault="00587A2C" w:rsidP="00587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102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C150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Material škodljiv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EBD0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Materiali nosilne konstrukcije, ki so po mnenju strokovnega izvedenca ali pristojne institucije škodljivi za zdravje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448F" w14:textId="77777777" w:rsidR="00587A2C" w:rsidRPr="00587A2C" w:rsidRDefault="00587A2C" w:rsidP="00587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EC0D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A137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8370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2BF7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791F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84A8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1E89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5120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0CEC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7A7A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4B65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60EB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01B1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D9EA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AE17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7828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5B2A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6A0D1515" w14:textId="77777777" w:rsidTr="00BE78B9">
        <w:trPr>
          <w:trHeight w:val="57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DB69" w14:textId="77777777" w:rsidR="00587A2C" w:rsidRPr="00587A2C" w:rsidRDefault="00587A2C" w:rsidP="00587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103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FC12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Nedokončano stanovanje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2FD4" w14:textId="2844AF0A" w:rsidR="00587A2C" w:rsidRPr="00587A2C" w:rsidRDefault="00587A2C" w:rsidP="00E93C80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Vsi deli stavbe v stavbi so nedokončani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CA6F" w14:textId="77777777" w:rsidR="00587A2C" w:rsidRPr="00587A2C" w:rsidRDefault="00587A2C" w:rsidP="00587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C5D1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8CF7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8F63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9085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2A11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894C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E825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D4D7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309F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088C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B2F5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4182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16A2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08BD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03DE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20E2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51A6" w14:textId="77777777" w:rsidR="00587A2C" w:rsidRPr="00587A2C" w:rsidRDefault="00587A2C" w:rsidP="00587A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45A9F468" w14:textId="77777777" w:rsidTr="00BE78B9">
        <w:trPr>
          <w:trHeight w:val="288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C749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104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EA46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 xml:space="preserve">Slaba kakovost in slabo vzdrževanje 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6676" w14:textId="735B5EC2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 xml:space="preserve">Zelo slabo vzdrževanje (vsaj 4 </w:t>
            </w:r>
            <w:r w:rsidR="00E93C80">
              <w:rPr>
                <w:rFonts w:ascii="Calibri" w:eastAsia="Times New Roman" w:hAnsi="Calibri" w:cs="Times New Roman"/>
                <w:lang w:eastAsia="sl-SI"/>
              </w:rPr>
              <w:t xml:space="preserve">postavke 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t>od naštetih</w:t>
            </w:r>
            <w:r w:rsidR="00E93C80">
              <w:rPr>
                <w:rFonts w:ascii="Calibri" w:eastAsia="Times New Roman" w:hAnsi="Calibri" w:cs="Times New Roman"/>
                <w:lang w:eastAsia="sl-SI"/>
              </w:rPr>
              <w:t xml:space="preserve"> izpolnjene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t>)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br/>
              <w:t>- streha dotrajana (dotrajano ostreš</w:t>
            </w:r>
            <w:r w:rsidR="00E93C80">
              <w:rPr>
                <w:rFonts w:ascii="Calibri" w:eastAsia="Times New Roman" w:hAnsi="Calibri" w:cs="Times New Roman"/>
                <w:lang w:eastAsia="sl-SI"/>
              </w:rPr>
              <w:t>j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t>e, pušča na več mestih)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br/>
              <w:t>- brez hidroizolacije (temeljne plošče in kletnih prostorov)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br/>
              <w:t>- brez toplotne izolacije (zunanji ovoj stavbe)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br/>
              <w:t>- izgled zunanjosti podpovprečen (pretežni del zunanjega ovoja poškodovan ali ga ni)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br/>
              <w:t>- dotrajana inštalacije vode (je ni ali ni več uporabna)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br/>
              <w:t>- dotrajana inštalacije elektrike (je ni ali ni več uporabna)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br/>
              <w:t>- v stanovanju ni kopalnice niti stranišča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670E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41AE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6F87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542C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1CC9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2E27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4D8F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340D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AD0A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3C11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0D27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54C0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43CE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31EC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D66A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9CBE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DEA4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2D91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22EFB018" w14:textId="77777777" w:rsidTr="00BE78B9">
        <w:trPr>
          <w:trHeight w:val="201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26BB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105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8B74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Dobra kakovost in vzdrževanje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D1D6" w14:textId="134F27C0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 xml:space="preserve"> Vzdrževanje stavbe odlično (vsaj 2 </w:t>
            </w:r>
            <w:r w:rsidR="00E93C80">
              <w:rPr>
                <w:rFonts w:ascii="Calibri" w:eastAsia="Times New Roman" w:hAnsi="Calibri" w:cs="Times New Roman"/>
                <w:lang w:eastAsia="sl-SI"/>
              </w:rPr>
              <w:t xml:space="preserve">postavki 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t>od naštetih</w:t>
            </w:r>
            <w:r w:rsidR="00E93C80">
              <w:rPr>
                <w:rFonts w:ascii="Calibri" w:eastAsia="Times New Roman" w:hAnsi="Calibri" w:cs="Times New Roman"/>
                <w:lang w:eastAsia="sl-SI"/>
              </w:rPr>
              <w:t xml:space="preserve"> izpolnjeni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t>)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br/>
              <w:t>- nadstandardni - izjemni gradbeni materiali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br/>
              <w:t>- nadstandardni - izjemen zunanji videz - arhitektura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br/>
              <w:t>- okolica urejena (zasaditev, dovoz...)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br/>
              <w:t>- spremljajoči objekti (letna kuhinja, bazen…)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br/>
              <w:t>(VELJA TUDI ZA ZIDANICE)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B96A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D39A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+20%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8858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+20%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8A28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19D6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+20%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29DE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+20%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FEB1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AC5C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1A04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E811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9B21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41B8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E591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CE94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FAFB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225C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FF96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E100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38542299" w14:textId="77777777" w:rsidTr="00BE78B9">
        <w:trPr>
          <w:trHeight w:val="28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3C31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106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1BD7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Energetsko varčen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BA21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Veljavna energetska izkaznica RAZRED 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7894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9185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+20%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674A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+20%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8921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8B96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+20%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AFBE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+20%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D2FA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C18C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F3F3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6DD1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E223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+20%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40A4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AAF3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D7D0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0E7F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E000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2CE0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7526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2F4D3597" w14:textId="77777777" w:rsidTr="00BE78B9">
        <w:trPr>
          <w:trHeight w:val="142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21B9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107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7D63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Kategorija nastanitvenih zmogljivosti 1 (1 zvezdica)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2E3D" w14:textId="5EB49A2F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 xml:space="preserve">Kategorija nastanitvenega obrata 1 (1 zvezdica)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8398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4938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AB81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5C9E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CA54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C372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B878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9515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1707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3D90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84DE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-40%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2465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1853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F5A1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F449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6358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041A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512E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7A24072A" w14:textId="77777777" w:rsidTr="00BE78B9">
        <w:trPr>
          <w:trHeight w:val="86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C091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108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44ED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Kategorija nastanitvenih zmogljivosti 2 (2 zvezdice)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3886" w14:textId="518BE812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Kategorija nastanitvenega obrata2 (2 zvezdice</w:t>
            </w:r>
            <w:r w:rsidR="00E93C80">
              <w:rPr>
                <w:rFonts w:ascii="Calibri" w:eastAsia="Times New Roman" w:hAnsi="Calibri" w:cs="Times New Roman"/>
                <w:lang w:eastAsia="sl-SI"/>
              </w:rPr>
              <w:t>)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t xml:space="preserve">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5342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D801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6DB6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C6AB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6902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583A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957E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D63E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EFB3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8470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916E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1383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474D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5672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4ED1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AE6C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40E0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8A78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762374D3" w14:textId="77777777" w:rsidTr="00BE78B9">
        <w:trPr>
          <w:trHeight w:val="86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D3D6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109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A312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Kategorija nastanitvenih zmogljivosti 5 (5 zvezdic)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935A" w14:textId="7F52E30F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Kategorija nastanitvenega obrata5 (5 zvezdic</w:t>
            </w:r>
            <w:r w:rsidR="00E93C80">
              <w:rPr>
                <w:rFonts w:ascii="Calibri" w:eastAsia="Times New Roman" w:hAnsi="Calibri" w:cs="Times New Roman"/>
                <w:lang w:eastAsia="sl-SI"/>
              </w:rPr>
              <w:t>)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t xml:space="preserve">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A4CF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6D1F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0285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945E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8AC8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C9B7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27A8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1807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6D4C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BFFF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8635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+30%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80BD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9233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8990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4DBF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A314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187F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9EFF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3E29C4BA" w14:textId="77777777" w:rsidTr="00BE78B9">
        <w:trPr>
          <w:trHeight w:val="117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BAD6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lastRenderedPageBreak/>
              <w:t>110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8B12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Gradnja stavbe ni mogoča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F785" w14:textId="15B45348" w:rsidR="00587A2C" w:rsidRPr="00587A2C" w:rsidRDefault="00E93C80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 xml:space="preserve">Na nepremičnini </w:t>
            </w:r>
            <w:r w:rsidR="009A2F3D">
              <w:rPr>
                <w:rFonts w:ascii="Calibri" w:eastAsia="Times New Roman" w:hAnsi="Calibri" w:cs="Times New Roman"/>
                <w:lang w:eastAsia="sl-SI"/>
              </w:rPr>
              <w:t xml:space="preserve">(parceli) </w:t>
            </w:r>
            <w:r>
              <w:rPr>
                <w:rFonts w:ascii="Calibri" w:eastAsia="Times New Roman" w:hAnsi="Calibri" w:cs="Times New Roman"/>
                <w:lang w:eastAsia="sl-SI"/>
              </w:rPr>
              <w:t>ni mogoče graditi zaradi z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>avrnjen</w:t>
            </w:r>
            <w:r>
              <w:rPr>
                <w:rFonts w:ascii="Calibri" w:eastAsia="Times New Roman" w:hAnsi="Calibri" w:cs="Times New Roman"/>
                <w:lang w:eastAsia="sl-SI"/>
              </w:rPr>
              <w:t>e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 xml:space="preserve"> izdaj</w:t>
            </w:r>
            <w:r>
              <w:rPr>
                <w:rFonts w:ascii="Calibri" w:eastAsia="Times New Roman" w:hAnsi="Calibri" w:cs="Times New Roman"/>
                <w:lang w:eastAsia="sl-SI"/>
              </w:rPr>
              <w:t>e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 xml:space="preserve"> gradbenega dovoljenja</w:t>
            </w:r>
            <w:r>
              <w:rPr>
                <w:rFonts w:ascii="Calibri" w:eastAsia="Times New Roman" w:hAnsi="Calibri" w:cs="Times New Roman"/>
                <w:lang w:eastAsia="sl-SI"/>
              </w:rPr>
              <w:t xml:space="preserve">, 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>molk</w:t>
            </w:r>
            <w:r>
              <w:rPr>
                <w:rFonts w:ascii="Calibri" w:eastAsia="Times New Roman" w:hAnsi="Calibri" w:cs="Times New Roman"/>
                <w:lang w:eastAsia="sl-SI"/>
              </w:rPr>
              <w:t>a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 xml:space="preserve"> pristojnega organa</w:t>
            </w:r>
            <w:r>
              <w:rPr>
                <w:rFonts w:ascii="Calibri" w:eastAsia="Times New Roman" w:hAnsi="Calibri" w:cs="Times New Roman"/>
                <w:lang w:eastAsia="sl-SI"/>
              </w:rPr>
              <w:t xml:space="preserve">, izdaje 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>vsaj en</w:t>
            </w:r>
            <w:r>
              <w:rPr>
                <w:rFonts w:ascii="Calibri" w:eastAsia="Times New Roman" w:hAnsi="Calibri" w:cs="Times New Roman"/>
                <w:lang w:eastAsia="sl-SI"/>
              </w:rPr>
              <w:t>ega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 xml:space="preserve"> negativn</w:t>
            </w:r>
            <w:r>
              <w:rPr>
                <w:rFonts w:ascii="Calibri" w:eastAsia="Times New Roman" w:hAnsi="Calibri" w:cs="Times New Roman"/>
                <w:lang w:eastAsia="sl-SI"/>
              </w:rPr>
              <w:t>ega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 xml:space="preserve"> soglasj</w:t>
            </w:r>
            <w:r>
              <w:rPr>
                <w:rFonts w:ascii="Calibri" w:eastAsia="Times New Roman" w:hAnsi="Calibri" w:cs="Times New Roman"/>
                <w:lang w:eastAsia="sl-SI"/>
              </w:rPr>
              <w:t>a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sl-SI"/>
              </w:rPr>
              <w:t xml:space="preserve">v povezavi s pridobivanjem gradbenega dovoljenja 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 xml:space="preserve">ali </w:t>
            </w:r>
            <w:r>
              <w:rPr>
                <w:rFonts w:ascii="Calibri" w:eastAsia="Times New Roman" w:hAnsi="Calibri" w:cs="Times New Roman"/>
                <w:lang w:eastAsia="sl-SI"/>
              </w:rPr>
              <w:t xml:space="preserve">izdanega 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>dokument</w:t>
            </w:r>
            <w:r>
              <w:rPr>
                <w:rFonts w:ascii="Calibri" w:eastAsia="Times New Roman" w:hAnsi="Calibri" w:cs="Times New Roman"/>
                <w:lang w:eastAsia="sl-SI"/>
              </w:rPr>
              <w:t>a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 xml:space="preserve"> pristojne občine o prepovedi gradnje (plan/režim/lokacijska informacija).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9C2F" w14:textId="77777777" w:rsidR="00587A2C" w:rsidRPr="00BE78B9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lang w:eastAsia="sl-SI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7C16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16A2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18FF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C7C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E327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4DA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A428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7E0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ABBD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4487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EB3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DC8A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923F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34E2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-90%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8C3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9961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0D0F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2F456D97" w14:textId="77777777" w:rsidTr="00BE78B9">
        <w:trPr>
          <w:trHeight w:val="86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E9F6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111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6CC3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Gradnja stavbe je dovoljena in mogoča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7259" w14:textId="0A7BFE21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Grad</w:t>
            </w:r>
            <w:r w:rsidR="00E93C80">
              <w:rPr>
                <w:rFonts w:ascii="Calibri" w:eastAsia="Times New Roman" w:hAnsi="Calibri" w:cs="Times New Roman"/>
                <w:lang w:eastAsia="sl-SI"/>
              </w:rPr>
              <w:t>nja stavbe je mogoča in dovoljena na podlagi izdanega grad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t>ben</w:t>
            </w:r>
            <w:r w:rsidR="00E93C80">
              <w:rPr>
                <w:rFonts w:ascii="Calibri" w:eastAsia="Times New Roman" w:hAnsi="Calibri" w:cs="Times New Roman"/>
                <w:lang w:eastAsia="sl-SI"/>
              </w:rPr>
              <w:t>ega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t xml:space="preserve"> dovoljenj</w:t>
            </w:r>
            <w:r w:rsidR="00E93C80">
              <w:rPr>
                <w:rFonts w:ascii="Calibri" w:eastAsia="Times New Roman" w:hAnsi="Calibri" w:cs="Times New Roman"/>
                <w:lang w:eastAsia="sl-SI"/>
              </w:rPr>
              <w:t>a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t xml:space="preserve"> </w:t>
            </w:r>
            <w:r w:rsidR="00E93C80">
              <w:rPr>
                <w:rFonts w:ascii="Calibri" w:eastAsia="Times New Roman" w:hAnsi="Calibri" w:cs="Times New Roman"/>
                <w:lang w:eastAsia="sl-SI"/>
              </w:rPr>
              <w:t xml:space="preserve">oziroma bo mogoča in dovoljena na podlagi 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t xml:space="preserve">dokumenta pristojne občine.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7D52" w14:textId="77777777" w:rsidR="00587A2C" w:rsidRPr="00BE78B9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lang w:eastAsia="sl-SI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AD7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D58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006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FBA2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40A1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44F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A7D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194D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7C0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2FAC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C17B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9062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CD7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AA6A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+300%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8518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A25E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AFEA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6B3999F2" w14:textId="77777777" w:rsidTr="00BE78B9">
        <w:trPr>
          <w:trHeight w:val="144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09F3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201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5A2C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Delno nezaseden poslovni center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3698" w14:textId="550E9B1C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Delno nezaseden poslovni center ima vsaj 10 poslovnih prostorov lokalov (več kot 30% površin lokalov v stavbi ne obratuje zadnja 3 leta)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36F7" w14:textId="77777777" w:rsidR="00587A2C" w:rsidRPr="00BE78B9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lang w:eastAsia="sl-SI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8216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767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58FF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F717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1FF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5008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070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0290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2D8D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2888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A69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0AF6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5A1B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965F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AF2D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2411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8E66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62176ECD" w14:textId="77777777" w:rsidTr="00BE78B9">
        <w:trPr>
          <w:trHeight w:val="144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D047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202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F4E8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Pretežno nezaseden poslovni center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3C33" w14:textId="31686BAC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Pretežno nezaseden poslovni center ima vsaj 10 poslovnih prostorov lokalov (več kot 50% površin lokalov v stavbi ne obratuje zadnja 3 leta</w:t>
            </w:r>
            <w:r w:rsidR="00F044DB">
              <w:rPr>
                <w:rFonts w:ascii="Calibri" w:eastAsia="Times New Roman" w:hAnsi="Calibri" w:cs="Times New Roman"/>
                <w:lang w:eastAsia="sl-SI"/>
              </w:rPr>
              <w:t>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5B27" w14:textId="77777777" w:rsidR="00587A2C" w:rsidRPr="00BE78B9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lang w:eastAsia="sl-SI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ACDB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FE31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4CDB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4A18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6112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-40%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CE0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97E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EC41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5F11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E6C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D400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0C4B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82AC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C9C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3068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D547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FA47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416D507F" w14:textId="77777777" w:rsidTr="00BE78B9">
        <w:trPr>
          <w:trHeight w:val="1152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95BA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203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BF95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Poslovna ali industrijska stavba ne služi svojemu namenu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AE1E" w14:textId="69107984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Poslovna ali industrijska stavba ni v uporabi in ne služi svojemu namenu več kot 4 leta, če ta vpliv ni zajet v vrednostni coni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7975" w14:textId="77777777" w:rsidR="00587A2C" w:rsidRPr="00BE78B9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lang w:eastAsia="sl-SI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5F10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AF52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B3B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F53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AC8C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5CD7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5FC0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12B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7EF2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F7E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7200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2100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BCEA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3487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D88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FFA4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1F8F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7EC4422E" w14:textId="77777777" w:rsidTr="00BE78B9">
        <w:trPr>
          <w:trHeight w:val="86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DDAD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204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EF8A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Slaba izpostavljenost lokala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7C18" w14:textId="3D326FC7" w:rsidR="00587A2C" w:rsidRPr="00587A2C" w:rsidRDefault="00F044DB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 xml:space="preserve">Lokal nima 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>vhoda iz ulice, okolica ni frekventna, malo naključnih strank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5B0A" w14:textId="77777777" w:rsidR="00587A2C" w:rsidRPr="00BE78B9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lang w:eastAsia="sl-SI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82EB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6DF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EC5A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457C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8B92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64F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143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B27B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FD3D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DDDB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0C7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7537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85DC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42A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ED7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E459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018C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12430B94" w14:textId="77777777" w:rsidTr="00BE78B9">
        <w:trPr>
          <w:trHeight w:val="144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D53F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205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B984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Netipično (manj primerno) okolje za pisarno ali lokal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B872" w14:textId="6A3C2884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 xml:space="preserve">Pisarna ali delavska menza </w:t>
            </w:r>
            <w:r w:rsidR="00F044DB">
              <w:rPr>
                <w:rFonts w:ascii="Calibri" w:eastAsia="Times New Roman" w:hAnsi="Calibri" w:cs="Times New Roman"/>
                <w:lang w:eastAsia="sl-SI"/>
              </w:rPr>
              <w:t xml:space="preserve">se nahaja 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t>v okviru industrijske stavbe (več kot 80% prostorov v stavbi po površini je IND ali INP)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CFCB" w14:textId="77777777" w:rsidR="00587A2C" w:rsidRPr="00BE78B9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lang w:eastAsia="sl-SI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8B8B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2372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9EFC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09D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F38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DF3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95F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4167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055A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2E20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7910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22D1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9B1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BD0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2A9B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425F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E39E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2695AA40" w14:textId="77777777" w:rsidTr="00BE78B9">
        <w:trPr>
          <w:trHeight w:val="1152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E4D0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206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D44F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Uporaba gostinskega vrta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9EE2" w14:textId="79F960A8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Gostinski lokal uporablja gostinski vrt in uporabna površina gostinskega lokala je vsaj 50 % neto tlorisne površine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292E" w14:textId="77777777" w:rsidR="00587A2C" w:rsidRPr="00BE78B9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lang w:eastAsia="sl-SI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A4D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07B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17BA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E8C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DD1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+20%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5BF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53B8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768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448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CCCF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F72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070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876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A841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942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EA57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ED76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14D69CD7" w14:textId="77777777" w:rsidTr="00BE78B9">
        <w:trPr>
          <w:trHeight w:val="144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1FAE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207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4C85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 xml:space="preserve">Izjemno nizka zasedenost </w:t>
            </w:r>
            <w:r w:rsidR="00F044DB">
              <w:rPr>
                <w:rFonts w:ascii="Calibri" w:eastAsia="Times New Roman" w:hAnsi="Calibri" w:cs="Times New Roman"/>
                <w:lang w:eastAsia="sl-SI"/>
              </w:rPr>
              <w:t>stavbe za turizem</w:t>
            </w:r>
            <w:r w:rsidR="00F044DB" w:rsidRPr="00587A2C">
              <w:rPr>
                <w:rFonts w:ascii="Calibri" w:eastAsia="Times New Roman" w:hAnsi="Calibri" w:cs="Times New Roman"/>
                <w:lang w:eastAsia="sl-SI"/>
              </w:rPr>
              <w:t xml:space="preserve"> 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t>na leto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8340" w14:textId="21436015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 xml:space="preserve">Triletni povprečni odstotek zasedenosti ležišč (stalnih in pomožnih) je </w:t>
            </w:r>
            <w:r w:rsidR="00F044DB">
              <w:rPr>
                <w:rFonts w:ascii="Calibri" w:eastAsia="Times New Roman" w:hAnsi="Calibri" w:cs="Times New Roman"/>
                <w:lang w:eastAsia="sl-SI"/>
              </w:rPr>
              <w:t xml:space="preserve">manjši od 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t>30 odstotkov, če ta vpliv ni zajet v vrednostni coni, kar je razvidno iz kopije mesečnih poročil o zasedenosti nastanitvenih obratov, ki se pošilja Statističnemu uradu RS in mnenja občine.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0E88" w14:textId="77777777" w:rsidR="00587A2C" w:rsidRPr="00BE78B9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lang w:eastAsia="sl-SI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60E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7488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4D7C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843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D05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EFB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5171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2F98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C85D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721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-40%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180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5ED8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54F1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7E8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3792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A1CC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ED11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0DA40560" w14:textId="77777777" w:rsidTr="00BE78B9">
        <w:trPr>
          <w:trHeight w:val="1152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9AA8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208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DB7F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 xml:space="preserve">Nizka zasedenost </w:t>
            </w:r>
            <w:r w:rsidR="00F044DB">
              <w:rPr>
                <w:rFonts w:ascii="Calibri" w:eastAsia="Times New Roman" w:hAnsi="Calibri" w:cs="Times New Roman"/>
                <w:lang w:eastAsia="sl-SI"/>
              </w:rPr>
              <w:t>stavbe za turizem</w:t>
            </w:r>
            <w:r w:rsidR="00F044DB" w:rsidRPr="00587A2C">
              <w:rPr>
                <w:rFonts w:ascii="Calibri" w:eastAsia="Times New Roman" w:hAnsi="Calibri" w:cs="Times New Roman"/>
                <w:lang w:eastAsia="sl-SI"/>
              </w:rPr>
              <w:t xml:space="preserve"> 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t>na leto</w:t>
            </w:r>
            <w:r w:rsidR="00F044DB">
              <w:rPr>
                <w:rFonts w:ascii="Calibri" w:eastAsia="Times New Roman" w:hAnsi="Calibri" w:cs="Times New Roman"/>
                <w:lang w:eastAsia="sl-SI"/>
              </w:rPr>
              <w:t xml:space="preserve"> 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8761" w14:textId="30C9D4D4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Triletni povprečni odstotek zasedenosti ležišč (stalnih in pomožnih) je od 31 do 50 odstotkov, če ta vpliv ni zajet v vrednostni coni, kar je razvidno iz izpisa iz registra nastanitvenih obratov.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71D4" w14:textId="77777777" w:rsidR="00587A2C" w:rsidRPr="00BE78B9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lang w:eastAsia="sl-SI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807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6D1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B7A2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85A1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3410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1F57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46C8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0D66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B20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DA28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0BCC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5931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7C9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E49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EA4A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01A2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7B25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21963B3F" w14:textId="77777777" w:rsidTr="00BE78B9">
        <w:trPr>
          <w:trHeight w:val="1152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D990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lastRenderedPageBreak/>
              <w:t>209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5129" w14:textId="49F6A2A1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Nadpovprečna zasedenost</w:t>
            </w:r>
            <w:r w:rsidR="00F044DB">
              <w:rPr>
                <w:rFonts w:ascii="Calibri" w:eastAsia="Times New Roman" w:hAnsi="Calibri" w:cs="Times New Roman"/>
                <w:lang w:eastAsia="sl-SI"/>
              </w:rPr>
              <w:t xml:space="preserve"> stavbe za turizem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t xml:space="preserve"> na leto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88A8" w14:textId="15C9DD9F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Triletni povprečni odstotek zasedenosti ležišč (stalnih in pomožnih) je večji od 81 odstotkov, če ta vpli</w:t>
            </w:r>
            <w:r>
              <w:rPr>
                <w:rFonts w:ascii="Calibri" w:eastAsia="Times New Roman" w:hAnsi="Calibri" w:cs="Times New Roman"/>
                <w:lang w:eastAsia="sl-SI"/>
              </w:rPr>
              <w:t xml:space="preserve">v ni zajet v vrednostni coni, 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t>kar je razvidno iz izpisa iz registra nastanitvenih obratov.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6B21" w14:textId="77777777" w:rsidR="00587A2C" w:rsidRPr="00BE78B9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lang w:eastAsia="sl-SI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7926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8E6D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F3D1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7B7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0BF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37F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5AD7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C3B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4CFA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D236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+20%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2EB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1F2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4B5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8A6B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E77D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7E3A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5ACD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4CF601B8" w14:textId="77777777" w:rsidTr="00BE78B9">
        <w:trPr>
          <w:trHeight w:val="144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B263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210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32EB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Znižana možnost pridelave</w:t>
            </w:r>
            <w:r w:rsidR="00F044DB">
              <w:rPr>
                <w:rFonts w:ascii="Calibri" w:eastAsia="Times New Roman" w:hAnsi="Calibri" w:cs="Times New Roman"/>
                <w:lang w:eastAsia="sl-SI"/>
              </w:rPr>
              <w:t xml:space="preserve"> na zemljišču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28A0" w14:textId="6BD59144" w:rsidR="00587A2C" w:rsidRPr="00587A2C" w:rsidRDefault="00F044DB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 xml:space="preserve">Za zemljišče je s potrdilom 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t xml:space="preserve">pristojnega organa ali izvedenca kmetijske / gozdarske stroke </w:t>
            </w:r>
            <w:r>
              <w:rPr>
                <w:rFonts w:ascii="Calibri" w:eastAsia="Times New Roman" w:hAnsi="Calibri" w:cs="Times New Roman"/>
                <w:lang w:eastAsia="sl-SI"/>
              </w:rPr>
              <w:t>ugotovljena d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>olgotrajna znižana možnost pridelave za več kot 50% primerljivega zemljišča enake kakovosti v tej vrednostni coni, če ta vpliv ni zajet v vrednostni coni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785D" w14:textId="77777777" w:rsidR="00587A2C" w:rsidRPr="00BE78B9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lang w:eastAsia="sl-SI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536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E15F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BC4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9D3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8A5D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EDA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C74D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D89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2B2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0D1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4092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E081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88E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0B0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A29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8581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7450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4F0ECE22" w14:textId="77777777" w:rsidTr="00BE78B9">
        <w:trPr>
          <w:trHeight w:val="86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D5D3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212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BB4C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Prepoved bivanja, obratovanja, obdelave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1C90" w14:textId="68F3A4FA" w:rsidR="00587A2C" w:rsidRPr="00587A2C" w:rsidRDefault="00F044DB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>Za stavbo</w:t>
            </w:r>
            <w:r w:rsidR="00CA1D61">
              <w:rPr>
                <w:rFonts w:ascii="Calibri" w:eastAsia="Times New Roman" w:hAnsi="Calibri" w:cs="Times New Roman"/>
                <w:lang w:eastAsia="sl-SI"/>
              </w:rPr>
              <w:t>/del stavbe</w:t>
            </w:r>
            <w:r>
              <w:rPr>
                <w:rFonts w:ascii="Calibri" w:eastAsia="Times New Roman" w:hAnsi="Calibri" w:cs="Times New Roman"/>
                <w:lang w:eastAsia="sl-SI"/>
              </w:rPr>
              <w:t xml:space="preserve"> ali zemljišče je izdan akt o prepovedi 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>obratovanja</w:t>
            </w:r>
            <w:r w:rsidR="00CA1D61">
              <w:rPr>
                <w:rFonts w:ascii="Calibri" w:eastAsia="Times New Roman" w:hAnsi="Calibri" w:cs="Times New Roman"/>
                <w:lang w:eastAsia="sl-SI"/>
              </w:rPr>
              <w:t xml:space="preserve"> ali bivanja ali obdelave zaradi vzrokov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>, ki izvira</w:t>
            </w:r>
            <w:r w:rsidR="00CA1D61">
              <w:rPr>
                <w:rFonts w:ascii="Calibri" w:eastAsia="Times New Roman" w:hAnsi="Calibri" w:cs="Times New Roman"/>
                <w:lang w:eastAsia="sl-SI"/>
              </w:rPr>
              <w:t>jo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 xml:space="preserve"> iz okolja ali iz nepremičnine, če ta vpliv ni zajet v vrednostni coni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A4DE" w14:textId="77777777" w:rsidR="00587A2C" w:rsidRPr="00BE78B9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lang w:eastAsia="sl-SI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A95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86DC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835C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274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AEBA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1C2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739D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FC1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D99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C29B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84DB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A98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EC4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D93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53F8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0DC8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B6CE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50600207" w14:textId="77777777" w:rsidTr="00BE78B9">
        <w:trPr>
          <w:trHeight w:val="86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CB44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213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AC2B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Prepoved prodaje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DDDE" w14:textId="62EBC712" w:rsidR="00587A2C" w:rsidRPr="00587A2C" w:rsidRDefault="00CA1D61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>Za stavbo/del stavbe ali zemljišče velja splošni predpis ali konkretni upravi akt</w:t>
            </w:r>
            <w:r w:rsidR="00022592">
              <w:rPr>
                <w:rFonts w:ascii="Calibri" w:eastAsia="Times New Roman" w:hAnsi="Calibri" w:cs="Times New Roman"/>
                <w:lang w:eastAsia="sl-SI"/>
              </w:rPr>
              <w:t xml:space="preserve"> pristojnega državnega ali občinskega organa</w:t>
            </w:r>
            <w:r>
              <w:rPr>
                <w:rFonts w:ascii="Calibri" w:eastAsia="Times New Roman" w:hAnsi="Calibri" w:cs="Times New Roman"/>
                <w:lang w:eastAsia="sl-SI"/>
              </w:rPr>
              <w:t xml:space="preserve"> o p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>repoved</w:t>
            </w:r>
            <w:r>
              <w:rPr>
                <w:rFonts w:ascii="Calibri" w:eastAsia="Times New Roman" w:hAnsi="Calibri" w:cs="Times New Roman"/>
                <w:lang w:eastAsia="sl-SI"/>
              </w:rPr>
              <w:t>i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 xml:space="preserve"> prodaje če ta vpliv ni zajet v vrednostni coni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44E0" w14:textId="77777777" w:rsidR="00587A2C" w:rsidRPr="00BE78B9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lang w:eastAsia="sl-SI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F3D6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FD8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2B5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6A4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D0F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EC1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2B2F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9B72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1126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A32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68BA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A0C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D4C7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BD3F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E36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546F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0FC1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15C412B6" w14:textId="77777777" w:rsidTr="00BE78B9">
        <w:trPr>
          <w:trHeight w:val="86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B91D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214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420E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Nelegalna zasedba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1FF4" w14:textId="77E23B21" w:rsidR="00587A2C" w:rsidRPr="00587A2C" w:rsidRDefault="00CA1D61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>Za stavbo/del stavbe ali zemljišče je bilo izdano potrdilo UE, občine ali policije, da je n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>elegalno zasedena (nasilna vselitev, zasedba ozemlja), če ta vpliv ni zajet v vrednostni coni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99B2" w14:textId="77777777" w:rsidR="00587A2C" w:rsidRPr="00BE78B9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lang w:eastAsia="sl-SI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3B7F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-70%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5E50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-70%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017A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-70%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53B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-70%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E49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-70%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C07B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-70%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09CD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-70%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AC26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-70%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343A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-70%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69D1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-70%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3B1D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-70%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8641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-70%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205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-70%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64D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-70%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F91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2280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3EC1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617D221F" w14:textId="77777777" w:rsidTr="00BE78B9">
        <w:trPr>
          <w:trHeight w:val="1152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841F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215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5A7D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Hrup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389A" w14:textId="59467BBC" w:rsidR="00587A2C" w:rsidRPr="00587A2C" w:rsidRDefault="00D06927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>Za stavbe/dele stavb ali zemljišča, razen za lokale, je i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 xml:space="preserve">zvor hrupa oddaljen manj kot 200 m in </w:t>
            </w:r>
            <w:r w:rsidR="00CA1D61">
              <w:rPr>
                <w:rFonts w:ascii="Calibri" w:eastAsia="Times New Roman" w:hAnsi="Calibri" w:cs="Times New Roman"/>
                <w:lang w:eastAsia="sl-SI"/>
              </w:rPr>
              <w:t xml:space="preserve">na podlagi  zapisnika o merjenju hrupa 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>presega dopustno vrednost (kamnolom, strelišče, letališče), če ta vpliv ni zajet v vrednostni coni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3D35" w14:textId="77777777" w:rsidR="00587A2C" w:rsidRPr="00BE78B9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lang w:eastAsia="sl-SI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E08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D02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F641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FB26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AAFC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58A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7646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4E7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3E48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4C4F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7227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1AE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2C57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D016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A498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5BCC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6F43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38C4919E" w14:textId="77777777" w:rsidTr="00BE78B9">
        <w:trPr>
          <w:trHeight w:val="86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F5BA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216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9AB7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Onesnaženost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3686" w14:textId="76C92876" w:rsidR="00587A2C" w:rsidRPr="00587A2C" w:rsidRDefault="00D06927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>Z zapisnikom o meritvah pooblaščene institucije ugotovljena o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>nesnaženost nad dopustno stopnjo, če ta vpliv ni zajet v vrednostni coni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7691" w14:textId="77777777" w:rsidR="00587A2C" w:rsidRPr="00BE78B9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lang w:eastAsia="sl-SI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61E1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E056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16CA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0B2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248C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E3FA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D4D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594F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E25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4D96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5F9D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E7FF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F2EF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97BC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EA21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BDDE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CB3C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7FE1FE7D" w14:textId="77777777" w:rsidTr="00BE78B9">
        <w:trPr>
          <w:trHeight w:val="86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258D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217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732E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Brez osončenosti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8732" w14:textId="1E2226D0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Grapa, severna lega z večjim naklonom, 6 mesecev v letu brez osončenja, če ta vpliv ni zajet v vrednostni coni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810D" w14:textId="77777777" w:rsidR="00587A2C" w:rsidRPr="00BE78B9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lang w:eastAsia="sl-SI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9B2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E3D0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93ED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E47B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266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8147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79CD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94CC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4276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4F01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C4AA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656D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053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5B0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4CD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C520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4CB8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69056E2D" w14:textId="77777777" w:rsidTr="00BE78B9">
        <w:trPr>
          <w:trHeight w:val="144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04D6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218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504B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Brez dostopa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4330" w14:textId="60C73909" w:rsidR="00587A2C" w:rsidRPr="00587A2C" w:rsidRDefault="00D06927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 xml:space="preserve">S potrdilom pristojnega organa z vključenim predvidenim rokom sanacije  ugotovljeno, da nepremičnina nima 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 xml:space="preserve">dostopa zaradi nesreče ali </w:t>
            </w:r>
            <w:r>
              <w:rPr>
                <w:rFonts w:ascii="Calibri" w:eastAsia="Times New Roman" w:hAnsi="Calibri" w:cs="Times New Roman"/>
                <w:lang w:eastAsia="sl-SI"/>
              </w:rPr>
              <w:t xml:space="preserve">je bil edini 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 xml:space="preserve">ali glavni dostopom </w:t>
            </w:r>
            <w:r>
              <w:rPr>
                <w:rFonts w:ascii="Calibri" w:eastAsia="Times New Roman" w:hAnsi="Calibri" w:cs="Times New Roman"/>
                <w:lang w:eastAsia="sl-SI"/>
              </w:rPr>
              <w:t xml:space="preserve">onemogočen zaradi različnih vzrokov 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>(</w:t>
            </w:r>
            <w:r>
              <w:rPr>
                <w:rFonts w:ascii="Calibri" w:eastAsia="Times New Roman" w:hAnsi="Calibri" w:cs="Times New Roman"/>
                <w:lang w:eastAsia="sl-SI"/>
              </w:rPr>
              <w:t xml:space="preserve">npr. 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>plaz na edini cesti, nedelovanje žičnice, večja in dolgotrajna dela pred vhodom v lokal, zaradi potreb zaščite in reševanja</w:t>
            </w:r>
            <w:r w:rsidR="00587A2C">
              <w:rPr>
                <w:rFonts w:ascii="Calibri" w:eastAsia="Times New Roman" w:hAnsi="Calibri" w:cs="Times New Roman"/>
                <w:lang w:eastAsia="sl-SI"/>
              </w:rPr>
              <w:t>-+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>), če ta vpliv ni zajet v vrednostni coni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3852" w14:textId="77777777" w:rsidR="00587A2C" w:rsidRPr="00BE78B9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lang w:eastAsia="sl-SI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57E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7ED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2D70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FD06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B921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FAA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E14A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CC4C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2F30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2B6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64D5" w14:textId="6F936845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</w:t>
            </w:r>
            <w:r w:rsid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5</w:t>
            </w: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207C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1E78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D13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DD8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C7F2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9B8E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BE78B9" w:rsidRPr="00587A2C" w14:paraId="37FCDB8B" w14:textId="77777777" w:rsidTr="00BE78B9">
        <w:trPr>
          <w:trHeight w:val="86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09B27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219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CE2BC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Stalna grožnja poplav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32FA6" w14:textId="75ED704F" w:rsidR="00587A2C" w:rsidRPr="00587A2C" w:rsidRDefault="00D06927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>Za nepremičnino je izdano potrdilo občine ali ARSO, da je bila na nepremičnini p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>oplava dvakrat v zadnjih petih letih</w:t>
            </w:r>
            <w:r>
              <w:rPr>
                <w:rFonts w:ascii="Calibri" w:eastAsia="Times New Roman" w:hAnsi="Calibri" w:cs="Times New Roman"/>
                <w:lang w:eastAsia="sl-SI"/>
              </w:rPr>
              <w:t xml:space="preserve"> z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 xml:space="preserve"> vsaj 20 cm vode v etaži, če ta vpliv ni zajet v vrednostni coni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B59E" w14:textId="77777777" w:rsidR="00587A2C" w:rsidRPr="00BE78B9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lang w:eastAsia="sl-SI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3EB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0E42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C5A8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830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FBA2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705C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529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242D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AA8B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41F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14F7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341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AFEB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9D3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2951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DE170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7DCD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BE78B9" w:rsidRPr="00587A2C" w14:paraId="616FD989" w14:textId="77777777" w:rsidTr="00BE78B9">
        <w:trPr>
          <w:trHeight w:val="57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F3491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220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08D0B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Stalna grožnja plazov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FCE43" w14:textId="16CE1564" w:rsidR="00587A2C" w:rsidRPr="00587A2C" w:rsidRDefault="00D06927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 xml:space="preserve">Za nepremičnino je izdano potrdilo občine ali ARSO, da se plazovi 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>sprožajo večkrat na leto, če ta vpliv ni zajet v vrednostni coni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D681" w14:textId="77777777" w:rsidR="00587A2C" w:rsidRPr="00BE78B9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lang w:eastAsia="sl-SI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D79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-40%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EB8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-40%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A50A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-40%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21F0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-40%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BB98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-40%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9407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BA4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A7EF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3E82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F46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-40%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8136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C922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195B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A99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4D5D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19DE8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3C52B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262B3AED" w14:textId="77777777" w:rsidTr="00BE78B9">
        <w:trPr>
          <w:trHeight w:val="86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5196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color w:val="000000"/>
                <w:lang w:eastAsia="sl-SI"/>
              </w:rPr>
              <w:lastRenderedPageBreak/>
              <w:t>221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A1C9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Odličen razgled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81FF" w14:textId="7B175C1D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Pogled na morje, jezero, gore…, lokal na vrhu poslovne stolpnice, če ta vpliv ni zajet v vrednostni coni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F5A6" w14:textId="77777777" w:rsidR="00587A2C" w:rsidRPr="00BE78B9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lang w:eastAsia="sl-SI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84E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+20%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29B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+20%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553D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B84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B78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+20%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CA66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9DC6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6BE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4961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BF6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+20%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3F2A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EDF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45E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01AA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+20%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955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5E55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A54C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63C35A53" w14:textId="77777777" w:rsidTr="00BE78B9">
        <w:trPr>
          <w:trHeight w:val="57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5DE1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301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5B07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Stavba za rušenje zaradi poškodbe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F0AA" w14:textId="4A35CCFB" w:rsidR="00587A2C" w:rsidRPr="00587A2C" w:rsidRDefault="00D06927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 xml:space="preserve">Z odločbo pristojnega organa ugotovljene 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>poškodbe nosilne konstrukcije - večje, stavbo je potrebno rušiti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6A6D" w14:textId="77777777" w:rsidR="00587A2C" w:rsidRPr="00BE78B9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lang w:eastAsia="sl-SI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81B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-90%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D9B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-90%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117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-90%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A1A0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-90%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551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-90%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FE4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-90%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39DF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-90%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E38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-90%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5868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-90%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679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-90%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106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4BB7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79C7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C060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1118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A6FA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95D1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65F942CD" w14:textId="77777777" w:rsidTr="00BE78B9">
        <w:trPr>
          <w:trHeight w:val="1152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1577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302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64F9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Stavba začasno neuporabna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9021" w14:textId="62EAD2CA" w:rsidR="00587A2C" w:rsidRPr="00587A2C" w:rsidRDefault="00D06927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>Z mnenjem izvedenca gradbene stroke z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sl-SI"/>
              </w:rPr>
              <w:t xml:space="preserve">vključenim 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t>predvidenim rokom sanacije</w:t>
            </w:r>
            <w:r>
              <w:rPr>
                <w:rFonts w:ascii="Calibri" w:eastAsia="Times New Roman" w:hAnsi="Calibri" w:cs="Times New Roman"/>
                <w:lang w:eastAsia="sl-SI"/>
              </w:rPr>
              <w:t xml:space="preserve"> ugotovljene p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 xml:space="preserve">oškodbe nosilne konstrukcije - srednja, stavba sedaj ni primerna za uporabo, vendar jo je mogoče sanirati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1C94" w14:textId="77777777" w:rsidR="00587A2C" w:rsidRPr="00BE78B9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lang w:eastAsia="sl-SI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246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0D3C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88C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BC78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0557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817F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A308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2D1B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532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64A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-50%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DC3D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093F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7DBD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C348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724D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E950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66EB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4FB19F08" w14:textId="77777777" w:rsidTr="00BE78B9">
        <w:trPr>
          <w:trHeight w:val="1152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8F03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303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2614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Nosilna konstrukcija stavbe poškodovana, uporaba mogoča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ABC0" w14:textId="186EA29A" w:rsidR="00587A2C" w:rsidRPr="00587A2C" w:rsidRDefault="00D06927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>Z mnenjem izvedenca gradbene stroke z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sl-SI"/>
              </w:rPr>
              <w:t xml:space="preserve">vključenim 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t>predvidenim rokom sanacije</w:t>
            </w:r>
            <w:r>
              <w:rPr>
                <w:rFonts w:ascii="Calibri" w:eastAsia="Times New Roman" w:hAnsi="Calibri" w:cs="Times New Roman"/>
                <w:lang w:eastAsia="sl-SI"/>
              </w:rPr>
              <w:t xml:space="preserve"> ugotovljene</w:t>
            </w:r>
            <w:r w:rsidRPr="00587A2C">
              <w:rPr>
                <w:rFonts w:ascii="Calibri" w:eastAsia="Times New Roman" w:hAnsi="Calibri" w:cs="Times New Roman"/>
                <w:lang w:eastAsia="sl-SI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sl-SI"/>
              </w:rPr>
              <w:t>p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>oškodbe nosilne konstrukcije - manjše, opazne so razpoke ali druge poškodbe, stavba je primerna za uporabo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C077" w14:textId="77777777" w:rsidR="00587A2C" w:rsidRPr="00BE78B9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lang w:eastAsia="sl-SI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554C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03B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CD1F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ED62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C19D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6500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76FC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850C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25F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E09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4690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D00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EACA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303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3F8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71C3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1245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BE78B9" w:rsidRPr="00587A2C" w14:paraId="76AA112F" w14:textId="77777777" w:rsidTr="00BE78B9">
        <w:trPr>
          <w:trHeight w:val="57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D80F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304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3B5B4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Poškodbe delov stavb zaradi poplav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E96C7" w14:textId="038A61FA" w:rsidR="00587A2C" w:rsidRPr="00587A2C" w:rsidRDefault="00D06927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>S potrdilom občine ugotovljena p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>oplava v obdobju 1 leta, vsaj 40 cm vode v etaži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28B6" w14:textId="77777777" w:rsidR="00587A2C" w:rsidRPr="00BE78B9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lang w:eastAsia="sl-SI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8E7B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DFA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AA6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668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D721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EC8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9ADC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BD0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2D26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FDD1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343C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BE90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48D8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5897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75B1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E329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B9043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05FBE3F4" w14:textId="77777777" w:rsidTr="00BE78B9">
        <w:trPr>
          <w:trHeight w:val="57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36C6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305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5020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Poškodbe zemljišč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C1C1" w14:textId="3D946E82" w:rsidR="00587A2C" w:rsidRPr="00587A2C" w:rsidRDefault="002E61F4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>S potrdilom občine in slikovnega gradiva ugotovljene p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>oškodbe zemljišč zaradi plazu, nanosi, erozije, požar, poplava, udor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D2B1" w14:textId="77777777" w:rsidR="00587A2C" w:rsidRPr="00BE78B9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lang w:eastAsia="sl-SI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B860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202D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4E5D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34D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8A59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504C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56E3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3628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616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1065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CF14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0AAE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9BF1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-20%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2127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-30%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9C46" w14:textId="77777777" w:rsidR="00587A2C" w:rsidRPr="00BE78B9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BE78B9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11BC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06C7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  <w:tr w:rsidR="00587A2C" w:rsidRPr="00587A2C" w14:paraId="58B773AA" w14:textId="77777777" w:rsidTr="00BE78B9">
        <w:trPr>
          <w:trHeight w:val="86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AB15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306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1B3F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Napad lubadarja, vetrolom, snegolom, žledolom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18D4" w14:textId="0E08AD29" w:rsidR="00587A2C" w:rsidRPr="00587A2C" w:rsidRDefault="002E61F4" w:rsidP="00BE78B9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>S potrdilom pristojnega organa ugotovljene p</w:t>
            </w:r>
            <w:r w:rsidR="00587A2C" w:rsidRPr="00587A2C">
              <w:rPr>
                <w:rFonts w:ascii="Calibri" w:eastAsia="Times New Roman" w:hAnsi="Calibri" w:cs="Times New Roman"/>
                <w:lang w:eastAsia="sl-SI"/>
              </w:rPr>
              <w:t>oškodbe gozda zaradi napada lubadarja ali drugih podlubnikov, vetroloma, snegoloma ali žledoloma, če je prizadetih več kot 50% dreves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47CB" w14:textId="77777777" w:rsidR="00587A2C" w:rsidRPr="00587A2C" w:rsidRDefault="00587A2C" w:rsidP="00BE7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lang w:eastAsia="sl-SI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1B39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49CD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0D1E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3B53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A9B6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5454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F09B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5F32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E8CB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6F3C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598A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F000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2D49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-75%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F19C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A7F7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94B6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C5D5" w14:textId="77777777" w:rsidR="00587A2C" w:rsidRPr="00587A2C" w:rsidRDefault="00587A2C" w:rsidP="00BE78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</w:pPr>
            <w:r w:rsidRPr="00587A2C">
              <w:rPr>
                <w:rFonts w:ascii="Calibri" w:eastAsia="Times New Roman" w:hAnsi="Calibri" w:cs="Times New Roman"/>
                <w:sz w:val="16"/>
                <w:szCs w:val="16"/>
                <w:lang w:eastAsia="sl-SI"/>
              </w:rPr>
              <w:t> </w:t>
            </w:r>
          </w:p>
        </w:tc>
      </w:tr>
    </w:tbl>
    <w:p w14:paraId="10DD2132" w14:textId="77777777" w:rsidR="00587A2C" w:rsidRDefault="00587A2C" w:rsidP="00BE78B9"/>
    <w:sectPr w:rsidR="00587A2C" w:rsidSect="00587A2C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71E8D"/>
    <w:multiLevelType w:val="multilevel"/>
    <w:tmpl w:val="725EF480"/>
    <w:lvl w:ilvl="0">
      <w:start w:val="1"/>
      <w:numFmt w:val="decimal"/>
      <w:pStyle w:val="Slika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150C32"/>
    <w:multiLevelType w:val="hybridMultilevel"/>
    <w:tmpl w:val="FFC0F4A8"/>
    <w:lvl w:ilvl="0" w:tplc="67BAE932">
      <w:start w:val="1"/>
      <w:numFmt w:val="decimal"/>
      <w:lvlText w:val="Slika %1: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2C"/>
    <w:rsid w:val="00022592"/>
    <w:rsid w:val="000F14B0"/>
    <w:rsid w:val="00224C4E"/>
    <w:rsid w:val="00236E17"/>
    <w:rsid w:val="002C4EC5"/>
    <w:rsid w:val="002E61F4"/>
    <w:rsid w:val="005126AA"/>
    <w:rsid w:val="00587A2C"/>
    <w:rsid w:val="009A2F3D"/>
    <w:rsid w:val="00BE78B9"/>
    <w:rsid w:val="00CA1D61"/>
    <w:rsid w:val="00CD4456"/>
    <w:rsid w:val="00D06927"/>
    <w:rsid w:val="00E542DC"/>
    <w:rsid w:val="00E93C80"/>
    <w:rsid w:val="00F044DB"/>
    <w:rsid w:val="00F2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65B3"/>
  <w15:docId w15:val="{0C0916E6-5467-4901-8477-C9B84716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T">
    <w:name w:val="Slika T"/>
    <w:basedOn w:val="Navaden"/>
    <w:link w:val="SlikaTZnak"/>
    <w:qFormat/>
    <w:rsid w:val="000F14B0"/>
    <w:pPr>
      <w:numPr>
        <w:numId w:val="2"/>
      </w:numPr>
      <w:spacing w:after="0" w:line="240" w:lineRule="auto"/>
      <w:ind w:left="360" w:hanging="360"/>
      <w:jc w:val="both"/>
    </w:pPr>
    <w:rPr>
      <w:rFonts w:cs="Arial"/>
      <w:i/>
    </w:rPr>
  </w:style>
  <w:style w:type="character" w:customStyle="1" w:styleId="SlikaTZnak">
    <w:name w:val="Slika T Znak"/>
    <w:basedOn w:val="Privzetapisavaodstavka"/>
    <w:link w:val="SlikaT"/>
    <w:rsid w:val="000F14B0"/>
    <w:rPr>
      <w:rFonts w:cs="Arial"/>
      <w:i/>
    </w:rPr>
  </w:style>
  <w:style w:type="character" w:styleId="Hiperpovezava">
    <w:name w:val="Hyperlink"/>
    <w:basedOn w:val="Privzetapisavaodstavka"/>
    <w:uiPriority w:val="99"/>
    <w:semiHidden/>
    <w:unhideWhenUsed/>
    <w:rsid w:val="00587A2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87A2C"/>
    <w:rPr>
      <w:color w:val="800080"/>
      <w:u w:val="single"/>
    </w:rPr>
  </w:style>
  <w:style w:type="paragraph" w:customStyle="1" w:styleId="msonormal0">
    <w:name w:val="msonormal"/>
    <w:basedOn w:val="Navaden"/>
    <w:rsid w:val="00587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nt5">
    <w:name w:val="font5"/>
    <w:basedOn w:val="Navaden"/>
    <w:rsid w:val="00587A2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sl-SI"/>
    </w:rPr>
  </w:style>
  <w:style w:type="paragraph" w:customStyle="1" w:styleId="xl63">
    <w:name w:val="xl63"/>
    <w:basedOn w:val="Navaden"/>
    <w:rsid w:val="00587A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4">
    <w:name w:val="xl64"/>
    <w:basedOn w:val="Navaden"/>
    <w:rsid w:val="00587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xl65">
    <w:name w:val="xl65"/>
    <w:basedOn w:val="Navaden"/>
    <w:rsid w:val="00587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l-SI"/>
    </w:rPr>
  </w:style>
  <w:style w:type="paragraph" w:customStyle="1" w:styleId="xl66">
    <w:name w:val="xl66"/>
    <w:basedOn w:val="Navaden"/>
    <w:rsid w:val="00587A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7">
    <w:name w:val="xl67"/>
    <w:basedOn w:val="Navaden"/>
    <w:rsid w:val="00587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8">
    <w:name w:val="xl68"/>
    <w:basedOn w:val="Navaden"/>
    <w:rsid w:val="00587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9">
    <w:name w:val="xl69"/>
    <w:basedOn w:val="Navaden"/>
    <w:rsid w:val="00587A2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0">
    <w:name w:val="xl70"/>
    <w:basedOn w:val="Navaden"/>
    <w:rsid w:val="00587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1">
    <w:name w:val="xl71"/>
    <w:basedOn w:val="Navaden"/>
    <w:rsid w:val="00587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2">
    <w:name w:val="xl72"/>
    <w:basedOn w:val="Navaden"/>
    <w:rsid w:val="00587A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sl-SI"/>
    </w:rPr>
  </w:style>
  <w:style w:type="paragraph" w:customStyle="1" w:styleId="xl73">
    <w:name w:val="xl73"/>
    <w:basedOn w:val="Navaden"/>
    <w:rsid w:val="00587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xl74">
    <w:name w:val="xl74"/>
    <w:basedOn w:val="Navaden"/>
    <w:rsid w:val="00587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5">
    <w:name w:val="xl75"/>
    <w:basedOn w:val="Navaden"/>
    <w:rsid w:val="00587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6">
    <w:name w:val="xl76"/>
    <w:basedOn w:val="Navaden"/>
    <w:rsid w:val="00587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7">
    <w:name w:val="xl77"/>
    <w:basedOn w:val="Navaden"/>
    <w:rsid w:val="00587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8">
    <w:name w:val="xl78"/>
    <w:basedOn w:val="Navaden"/>
    <w:rsid w:val="00587A2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sl-SI"/>
    </w:rPr>
  </w:style>
  <w:style w:type="paragraph" w:customStyle="1" w:styleId="xl79">
    <w:name w:val="xl79"/>
    <w:basedOn w:val="Navaden"/>
    <w:rsid w:val="00587A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0">
    <w:name w:val="xl80"/>
    <w:basedOn w:val="Navaden"/>
    <w:rsid w:val="00587A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xl81">
    <w:name w:val="xl81"/>
    <w:basedOn w:val="Navaden"/>
    <w:rsid w:val="00587A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sl-SI"/>
    </w:rPr>
  </w:style>
  <w:style w:type="paragraph" w:customStyle="1" w:styleId="xl82">
    <w:name w:val="xl82"/>
    <w:basedOn w:val="Navaden"/>
    <w:rsid w:val="00587A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sl-SI"/>
    </w:rPr>
  </w:style>
  <w:style w:type="paragraph" w:customStyle="1" w:styleId="xl83">
    <w:name w:val="xl83"/>
    <w:basedOn w:val="Navaden"/>
    <w:rsid w:val="00587A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4">
    <w:name w:val="xl84"/>
    <w:basedOn w:val="Navaden"/>
    <w:rsid w:val="00587A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85">
    <w:name w:val="xl85"/>
    <w:basedOn w:val="Navaden"/>
    <w:rsid w:val="00587A2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86">
    <w:name w:val="xl86"/>
    <w:basedOn w:val="Navaden"/>
    <w:rsid w:val="00587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87">
    <w:name w:val="xl87"/>
    <w:basedOn w:val="Navaden"/>
    <w:rsid w:val="00587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xl88">
    <w:name w:val="xl88"/>
    <w:basedOn w:val="Navaden"/>
    <w:rsid w:val="00587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l-SI"/>
    </w:rPr>
  </w:style>
  <w:style w:type="paragraph" w:customStyle="1" w:styleId="xl89">
    <w:name w:val="xl89"/>
    <w:basedOn w:val="Navaden"/>
    <w:rsid w:val="00587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90">
    <w:name w:val="xl90"/>
    <w:basedOn w:val="Navaden"/>
    <w:rsid w:val="00587A2C"/>
    <w:pP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91">
    <w:name w:val="xl91"/>
    <w:basedOn w:val="Navaden"/>
    <w:rsid w:val="00587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sl-SI"/>
    </w:rPr>
  </w:style>
  <w:style w:type="paragraph" w:customStyle="1" w:styleId="xl92">
    <w:name w:val="xl92"/>
    <w:basedOn w:val="Navaden"/>
    <w:rsid w:val="00587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3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93C80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E93C8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93C8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93C8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93C8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93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02409DC-99C6-4F3C-8B71-B51D23D2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1411</Words>
  <Characters>8045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smodis</dc:creator>
  <cp:lastModifiedBy>smodis</cp:lastModifiedBy>
  <cp:revision>4</cp:revision>
  <dcterms:created xsi:type="dcterms:W3CDTF">2018-03-27T15:11:00Z</dcterms:created>
  <dcterms:modified xsi:type="dcterms:W3CDTF">2018-03-28T10:58:00Z</dcterms:modified>
</cp:coreProperties>
</file>