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F2" w:rsidRPr="00413166" w:rsidRDefault="00B20B4A" w:rsidP="00FA42DC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487624138"/>
      <w:r>
        <w:rPr>
          <w:rFonts w:ascii="Arial" w:hAnsi="Arial" w:cs="Arial"/>
          <w:b/>
          <w:bCs/>
          <w:sz w:val="20"/>
          <w:szCs w:val="20"/>
        </w:rPr>
        <w:t xml:space="preserve">Priloga 3. </w:t>
      </w:r>
      <w:bookmarkEnd w:id="0"/>
      <w:r w:rsidR="008367F2" w:rsidRPr="00413166">
        <w:rPr>
          <w:rFonts w:ascii="Arial" w:hAnsi="Arial" w:cs="Arial"/>
          <w:b/>
          <w:sz w:val="20"/>
          <w:szCs w:val="20"/>
        </w:rPr>
        <w:t xml:space="preserve">PROGRAM </w:t>
      </w:r>
      <w:r w:rsidR="00C366D2">
        <w:rPr>
          <w:rFonts w:ascii="Arial" w:hAnsi="Arial" w:cs="Arial"/>
          <w:b/>
          <w:sz w:val="20"/>
          <w:szCs w:val="20"/>
        </w:rPr>
        <w:t xml:space="preserve">OBDOBNEGA IZPOPOLNJEVANJA </w:t>
      </w:r>
      <w:r w:rsidR="008367F2" w:rsidRPr="00413166">
        <w:rPr>
          <w:rFonts w:ascii="Arial" w:hAnsi="Arial" w:cs="Arial"/>
          <w:b/>
          <w:sz w:val="20"/>
          <w:szCs w:val="20"/>
        </w:rPr>
        <w:t xml:space="preserve">ZA REŠEVALCA NA SMUČIŠČU </w:t>
      </w:r>
      <w:r w:rsidR="00C366D2">
        <w:rPr>
          <w:rFonts w:ascii="Arial" w:hAnsi="Arial" w:cs="Arial"/>
          <w:b/>
          <w:sz w:val="20"/>
          <w:szCs w:val="20"/>
        </w:rPr>
        <w:t>(12. člen)</w:t>
      </w:r>
    </w:p>
    <w:p w:rsidR="008367F2" w:rsidRPr="00413166" w:rsidRDefault="008367F2" w:rsidP="008367F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8367F2" w:rsidRPr="00413166" w:rsidRDefault="0068058E" w:rsidP="008367F2">
      <w:pPr>
        <w:pStyle w:val="Glav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IZBRANE VSEBINE REŠEVANJA</w:t>
      </w:r>
      <w:r w:rsidR="00BB4171">
        <w:rPr>
          <w:rFonts w:ascii="Arial" w:hAnsi="Arial" w:cs="Arial"/>
          <w:b/>
          <w:sz w:val="20"/>
          <w:szCs w:val="20"/>
        </w:rPr>
        <w:t xml:space="preserve"> </w:t>
      </w:r>
      <w:r w:rsidR="008367F2" w:rsidRPr="00413166">
        <w:rPr>
          <w:rFonts w:ascii="Arial" w:hAnsi="Arial" w:cs="Arial"/>
          <w:b/>
          <w:sz w:val="20"/>
          <w:szCs w:val="20"/>
        </w:rPr>
        <w:t>NA SMUČIŠČU</w:t>
      </w:r>
    </w:p>
    <w:p w:rsidR="008367F2" w:rsidRPr="00413166" w:rsidRDefault="008367F2" w:rsidP="008367F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6378"/>
        <w:gridCol w:w="1241"/>
        <w:gridCol w:w="1242"/>
        <w:gridCol w:w="1241"/>
        <w:gridCol w:w="1242"/>
      </w:tblGrid>
      <w:tr w:rsidR="004B0CAD" w:rsidRPr="004B0CAD" w:rsidTr="000552F6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4B0CAD">
              <w:rPr>
                <w:rFonts w:ascii="Arial" w:hAnsi="Arial" w:cs="Arial"/>
                <w:b/>
                <w:sz w:val="18"/>
                <w:szCs w:val="20"/>
              </w:rPr>
              <w:t>Zap</w:t>
            </w:r>
            <w:proofErr w:type="spellEnd"/>
            <w:r w:rsidRPr="004B0CAD">
              <w:rPr>
                <w:rFonts w:ascii="Arial" w:hAnsi="Arial" w:cs="Arial"/>
                <w:b/>
                <w:sz w:val="18"/>
                <w:szCs w:val="20"/>
              </w:rPr>
              <w:t>.št.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Naslov poglavja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Vsebina poglavja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ind w:left="-112" w:right="-145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Samostojna priprava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4B0CAD" w:rsidRPr="004B0CAD" w:rsidRDefault="004B0CAD" w:rsidP="004B0C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Preda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vanja (ur)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4B0CAD" w:rsidRPr="004B0CAD" w:rsidRDefault="004B0CAD" w:rsidP="004B0CA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Praktično delo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B0CAD" w:rsidRPr="004B0CAD" w:rsidRDefault="004B0CAD" w:rsidP="004B0CA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 xml:space="preserve">Skupaj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(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ur</w:t>
            </w:r>
            <w:r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</w:tr>
      <w:tr w:rsidR="004B0CAD" w:rsidRPr="00413166" w:rsidTr="000552F6">
        <w:tc>
          <w:tcPr>
            <w:tcW w:w="675" w:type="dxa"/>
            <w:tcBorders>
              <w:top w:val="single" w:sz="18" w:space="0" w:color="auto"/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Ustroj in delovanje človeškega telesa</w:t>
            </w:r>
          </w:p>
        </w:tc>
        <w:tc>
          <w:tcPr>
            <w:tcW w:w="6378" w:type="dxa"/>
            <w:tcBorders>
              <w:top w:val="single" w:sz="18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krajši opis človeškega telesa in delovanja posameznih organov in sistemov.</w:t>
            </w:r>
          </w:p>
        </w:tc>
        <w:tc>
          <w:tcPr>
            <w:tcW w:w="1241" w:type="dxa"/>
            <w:tcBorders>
              <w:top w:val="single" w:sz="18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18" w:space="0" w:color="auto"/>
            </w:tcBorders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18" w:space="0" w:color="auto"/>
            </w:tcBorders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18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Izbrane vsebine reševanja </w:t>
            </w:r>
            <w:r w:rsidRPr="00413166">
              <w:rPr>
                <w:rFonts w:ascii="Arial" w:hAnsi="Arial" w:cs="Arial"/>
                <w:sz w:val="20"/>
                <w:szCs w:val="20"/>
              </w:rPr>
              <w:t>- splošni del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pojem prva pomoč (v nadaljevanju: PP) in pojem nujna medicins</w:t>
            </w:r>
            <w:r>
              <w:rPr>
                <w:rFonts w:ascii="Arial" w:hAnsi="Arial" w:cs="Arial"/>
                <w:sz w:val="20"/>
                <w:szCs w:val="20"/>
              </w:rPr>
              <w:t>ka pomoč,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naloge in cilji PP in NMP, veriga preživetja, vloga prvih posredovalcev v PP in sistemu NMP v Republiki Sloveniji,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 organizacija NMP v Republiki Sloveniji,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dispečerstvo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v zdravstvu in sistem 112,</w:t>
            </w:r>
          </w:p>
          <w:p w:rsidR="004B0CAD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899">
              <w:rPr>
                <w:rFonts w:ascii="Arial" w:hAnsi="Arial" w:cs="Arial"/>
                <w:sz w:val="20"/>
                <w:szCs w:val="20"/>
              </w:rPr>
              <w:t xml:space="preserve">oprema in sredstva za izvajanje NMP na smučišču, </w:t>
            </w:r>
          </w:p>
          <w:p w:rsidR="004B0CAD" w:rsidRPr="00985899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5899">
              <w:rPr>
                <w:rFonts w:ascii="Arial" w:hAnsi="Arial" w:cs="Arial"/>
                <w:sz w:val="20"/>
                <w:szCs w:val="20"/>
              </w:rPr>
              <w:t>pristop k poškodovancu in splošni napotki za nudenje NMP na smučišču, osnovne življenjske funkcije, smrt,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5 neposrednih nevarnosti za življenje, nesreče z večjim številom  poškodovanih (velike nesreče, masovne nesreče in katastrofe),</w:t>
            </w:r>
          </w:p>
          <w:p w:rsidR="004B0CAD" w:rsidRPr="00413166" w:rsidRDefault="004B0CAD" w:rsidP="008367F2">
            <w:pPr>
              <w:numPr>
                <w:ilvl w:val="0"/>
                <w:numId w:val="14"/>
              </w:numPr>
              <w:suppressAutoHyphens w:val="0"/>
              <w:autoSpaceDE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ravnanje reševalca ob prihodu helikopterja na kraj reševanja, osnovni položaji </w:t>
            </w:r>
            <w:r>
              <w:rPr>
                <w:rFonts w:ascii="Arial" w:hAnsi="Arial" w:cs="Arial"/>
                <w:sz w:val="20"/>
                <w:szCs w:val="20"/>
              </w:rPr>
              <w:t>poškodovanca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prevoz poškodovanca</w:t>
            </w:r>
            <w:r w:rsidRPr="00413166">
              <w:rPr>
                <w:rFonts w:ascii="Arial" w:hAnsi="Arial" w:cs="Arial"/>
                <w:sz w:val="20"/>
                <w:szCs w:val="20"/>
              </w:rPr>
              <w:t>, higienski ukrepi in zaščita pri delu.</w:t>
            </w:r>
          </w:p>
        </w:tc>
        <w:tc>
          <w:tcPr>
            <w:tcW w:w="1241" w:type="dxa"/>
          </w:tcPr>
          <w:p w:rsidR="004B0CAD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Izbrane vsebine reševanja na smučišču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– poškodbe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2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pristop, pregled in ocena ter oskrba poškodovanca (po ITLS </w:t>
            </w:r>
            <w:proofErr w:type="spellStart"/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Basic</w:t>
            </w:r>
            <w:proofErr w:type="spellEnd"/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),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kaj so poškodbe, rane, komplikacije ran, krvavitve in zaustavljanje krvavitev, oskrba ran, tujki v telesu, zlomi, zvini, izpahi, osnove imobilizacije (sodobni in klasični pripomočki), poškodbe hrbtenice, poškodbe glave, poškodbe prsnega koša, poškodbe trebuha,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blast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poškodbe, »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crush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injury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>« poškodbe, opekline (opekline in oparine), nenadna stanja (snežna slepota, sončarica, pregrevanje telesa, splošna podhladitev, omrzline, ozebline, višinska bolezen), urgentno in hitro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 izvlačenje poškodovanca.</w:t>
            </w:r>
          </w:p>
        </w:tc>
        <w:tc>
          <w:tcPr>
            <w:tcW w:w="1241" w:type="dxa"/>
          </w:tcPr>
          <w:p w:rsidR="004B0CAD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66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Šokovna stanja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prepoznavanje različnih vrst šoka in ukrepanje.</w:t>
            </w:r>
          </w:p>
        </w:tc>
        <w:tc>
          <w:tcPr>
            <w:tcW w:w="1241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Izbrane vsebine reševanja na smučišču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- nenadna obolenja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šok, nezavest, sinkopa oziroma omedlevica, epileptični napad in status, histerični napad, vročinski krči, bolečina v prsih, možganska kap, astma in kronična obstruktivna pljučna bolezen, zapleti pri sladkorni bolezni (hiperglikemija in hipoglikemija), merjenje k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rvnega sladkorja, ravnanje z inz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ulinsko črpalko ob hipoglikemiji, nenadna duševna obolenja.</w:t>
            </w:r>
          </w:p>
        </w:tc>
        <w:tc>
          <w:tcPr>
            <w:tcW w:w="1241" w:type="dxa"/>
          </w:tcPr>
          <w:p w:rsidR="004B0CAD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Izbrane vsebine reševanja na smučišču –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akutne zastrupitve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 xml:space="preserve">splošno,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akutne 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zastrupitve zaradi zaužitja snovi (alkohola, drog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itd.</w:t>
            </w:r>
            <w:r w:rsidRPr="00413166">
              <w:rPr>
                <w:rFonts w:ascii="Arial" w:hAnsi="Arial" w:cs="Arial"/>
                <w:spacing w:val="-4"/>
                <w:sz w:val="20"/>
                <w:szCs w:val="20"/>
              </w:rPr>
              <w:t>).</w:t>
            </w:r>
          </w:p>
        </w:tc>
        <w:tc>
          <w:tcPr>
            <w:tcW w:w="1241" w:type="dxa"/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Izbrane vsebine reševanja na smučišču –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emeljni postopki oživljanja </w:t>
            </w:r>
          </w:p>
        </w:tc>
        <w:tc>
          <w:tcPr>
            <w:tcW w:w="6378" w:type="dxa"/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temeljni postopki oživljanja, uporaba (pol)avtomatskega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defibrilatorja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 xml:space="preserve"> – AED, prosta dihalna pot, modificiran trojni manever in aspiracija iz ust in žrela ter aplikacija kisika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(klasični pristop ter pristop z </w:t>
            </w:r>
            <w:r>
              <w:rPr>
                <w:rFonts w:ascii="Arial" w:hAnsi="Arial" w:cs="Arial"/>
                <w:sz w:val="20"/>
                <w:szCs w:val="20"/>
              </w:rPr>
              <w:t>uporabo dihalnega balona, ustno-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žrelnega </w:t>
            </w:r>
            <w:proofErr w:type="spellStart"/>
            <w:r w:rsidRPr="00413166">
              <w:rPr>
                <w:rFonts w:ascii="Arial" w:hAnsi="Arial" w:cs="Arial"/>
                <w:sz w:val="20"/>
                <w:szCs w:val="20"/>
              </w:rPr>
              <w:t>tubusa</w:t>
            </w:r>
            <w:proofErr w:type="spellEnd"/>
            <w:r w:rsidRPr="00413166">
              <w:rPr>
                <w:rFonts w:ascii="Arial" w:hAnsi="Arial" w:cs="Arial"/>
                <w:sz w:val="20"/>
                <w:szCs w:val="20"/>
              </w:rPr>
              <w:t>, kisika in aspiracije iz ust in žrela).</w:t>
            </w:r>
          </w:p>
        </w:tc>
        <w:tc>
          <w:tcPr>
            <w:tcW w:w="1241" w:type="dxa"/>
          </w:tcPr>
          <w:p w:rsidR="004B0CAD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42" w:type="dxa"/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1" w:type="dxa"/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1</w:t>
            </w:r>
            <w:r w:rsidR="007F39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0CAD" w:rsidRPr="00413166" w:rsidTr="000552F6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1"/>
              </w:numPr>
              <w:suppressAutoHyphens w:val="0"/>
              <w:autoSpaceDE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4B0CAD" w:rsidRPr="00413166" w:rsidRDefault="004B0CAD" w:rsidP="00787C6C">
            <w:pPr>
              <w:spacing w:beforeLines="60" w:before="144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Izbrane vsebine reševanja na smučišču –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13166">
              <w:rPr>
                <w:rFonts w:ascii="Arial" w:hAnsi="Arial" w:cs="Arial"/>
                <w:sz w:val="20"/>
                <w:szCs w:val="20"/>
              </w:rPr>
              <w:t>imulacije nujnih stanj</w:t>
            </w:r>
          </w:p>
        </w:tc>
        <w:tc>
          <w:tcPr>
            <w:tcW w:w="6378" w:type="dxa"/>
            <w:tcBorders>
              <w:bottom w:val="single" w:sz="12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3"/>
              </w:numPr>
              <w:suppressAutoHyphens w:val="0"/>
              <w:autoSpaceDE/>
              <w:spacing w:beforeLines="60" w:before="144" w:afterLines="60" w:after="144"/>
              <w:ind w:left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Scenariji</w:t>
            </w:r>
            <w:r>
              <w:rPr>
                <w:rFonts w:ascii="Arial" w:hAnsi="Arial" w:cs="Arial"/>
                <w:sz w:val="20"/>
                <w:szCs w:val="20"/>
              </w:rPr>
              <w:t>, oskrba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nenadno obolele, zastrupljene oziroma poškodovane osebe ob uporabi opreme in sredstev za oskrbo in za </w:t>
            </w:r>
            <w:r>
              <w:rPr>
                <w:rFonts w:ascii="Arial" w:hAnsi="Arial" w:cs="Arial"/>
                <w:sz w:val="20"/>
                <w:szCs w:val="20"/>
              </w:rPr>
              <w:t>prevoz p</w:t>
            </w:r>
            <w:r w:rsidRPr="00413166">
              <w:rPr>
                <w:rFonts w:ascii="Arial" w:hAnsi="Arial" w:cs="Arial"/>
                <w:sz w:val="20"/>
                <w:szCs w:val="20"/>
              </w:rPr>
              <w:t>oškodovan</w:t>
            </w:r>
            <w:r>
              <w:rPr>
                <w:rFonts w:ascii="Arial" w:hAnsi="Arial" w:cs="Arial"/>
                <w:sz w:val="20"/>
                <w:szCs w:val="20"/>
              </w:rPr>
              <w:t>cev po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smučišču.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F2F2F2"/>
          </w:tcPr>
          <w:p w:rsidR="004B0CAD" w:rsidRPr="00413166" w:rsidRDefault="004B0CA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F2F2F2"/>
          </w:tcPr>
          <w:p w:rsidR="004B0CAD" w:rsidRPr="00413166" w:rsidRDefault="00C366D2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bottom w:val="single" w:sz="12" w:space="0" w:color="auto"/>
            </w:tcBorders>
          </w:tcPr>
          <w:p w:rsidR="004B0CAD" w:rsidRPr="00413166" w:rsidRDefault="007F3949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0CAD" w:rsidRPr="00413166" w:rsidTr="000552F6">
        <w:tc>
          <w:tcPr>
            <w:tcW w:w="974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B0CAD" w:rsidRPr="00413166" w:rsidRDefault="004B0CAD" w:rsidP="008367F2">
            <w:pPr>
              <w:numPr>
                <w:ilvl w:val="0"/>
                <w:numId w:val="17"/>
              </w:numPr>
              <w:suppressAutoHyphens w:val="0"/>
              <w:autoSpaceDE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41316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24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4B0CAD" w:rsidRDefault="00C366D2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242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F2F2F2"/>
          </w:tcPr>
          <w:p w:rsidR="004B0CAD" w:rsidRPr="00413166" w:rsidRDefault="00C366D2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4B0CAD" w:rsidRPr="00413166" w:rsidRDefault="00C366D2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4B0CAD" w:rsidRPr="00413166" w:rsidRDefault="004B0CAD" w:rsidP="00787C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</w:tbl>
    <w:p w:rsidR="008367F2" w:rsidRPr="00871299" w:rsidRDefault="008367F2" w:rsidP="008367F2">
      <w:pPr>
        <w:spacing w:after="40"/>
        <w:jc w:val="both"/>
        <w:rPr>
          <w:rFonts w:ascii="Arial" w:hAnsi="Arial" w:cs="Arial"/>
          <w:sz w:val="12"/>
          <w:szCs w:val="12"/>
        </w:rPr>
      </w:pPr>
    </w:p>
    <w:p w:rsidR="008367F2" w:rsidRPr="003C2A15" w:rsidRDefault="003C2A15" w:rsidP="003C2A15">
      <w:pPr>
        <w:spacing w:after="40"/>
        <w:ind w:left="2552" w:hanging="567"/>
        <w:jc w:val="both"/>
        <w:rPr>
          <w:rFonts w:ascii="Arial" w:hAnsi="Arial" w:cs="Arial"/>
          <w:sz w:val="18"/>
          <w:szCs w:val="20"/>
          <w:u w:val="single"/>
        </w:rPr>
      </w:pPr>
      <w:r w:rsidRPr="003C2A15">
        <w:rPr>
          <w:rFonts w:ascii="Arial" w:hAnsi="Arial" w:cs="Arial"/>
          <w:sz w:val="18"/>
          <w:szCs w:val="20"/>
          <w:u w:val="single"/>
        </w:rPr>
        <w:t>Viri za samostojno pripravo na preverjanje usposabljanja: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F60D64">
        <w:rPr>
          <w:rFonts w:ascii="Arial" w:hAnsi="Arial" w:cs="Arial"/>
          <w:sz w:val="18"/>
          <w:szCs w:val="20"/>
        </w:rPr>
        <w:t>Prva pomoč: priročnik s praktičnimi primeri. U. Ahčan (Ed.). Rdeči križ Slovenije, Ljubljana 2006.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Pogačar E. Prva pomoč v Gorski reševalni službi Slovenije, Gorska reševalna služba Slovenije, Ljubljana 2006 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proofErr w:type="spellStart"/>
      <w:r w:rsidRPr="006F0FDB">
        <w:rPr>
          <w:rFonts w:ascii="Arial" w:hAnsi="Arial" w:cs="Arial"/>
          <w:sz w:val="18"/>
          <w:szCs w:val="20"/>
        </w:rPr>
        <w:t>Mirkac</w:t>
      </w:r>
      <w:proofErr w:type="spellEnd"/>
      <w:r w:rsidRPr="006F0FDB">
        <w:rPr>
          <w:rFonts w:ascii="Arial" w:hAnsi="Arial" w:cs="Arial"/>
          <w:sz w:val="18"/>
          <w:szCs w:val="20"/>
        </w:rPr>
        <w:t>, M.. Oživljanje v gorah, Univerza v Mariboru, Fakulteta za zdravstvene vede, Maribor 2011, dostopno na https://dk.um.si/</w:t>
      </w:r>
      <w:r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6F0FDB">
        <w:rPr>
          <w:rFonts w:ascii="Arial" w:hAnsi="Arial" w:cs="Arial"/>
          <w:sz w:val="18"/>
          <w:szCs w:val="20"/>
        </w:rPr>
        <w:t>IzpisGradiva.php</w:t>
      </w:r>
      <w:proofErr w:type="spellEnd"/>
      <w:r w:rsidRPr="006F0FDB">
        <w:rPr>
          <w:rFonts w:ascii="Arial" w:hAnsi="Arial" w:cs="Arial"/>
          <w:sz w:val="18"/>
          <w:szCs w:val="20"/>
        </w:rPr>
        <w:t>?id=18764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Keggenhoff</w:t>
      </w:r>
      <w:proofErr w:type="spellEnd"/>
      <w:r>
        <w:rPr>
          <w:rFonts w:ascii="Arial" w:hAnsi="Arial" w:cs="Arial"/>
          <w:sz w:val="18"/>
          <w:szCs w:val="20"/>
        </w:rPr>
        <w:t xml:space="preserve"> F, Kosec L</w:t>
      </w:r>
      <w:r w:rsidRPr="00F60D64">
        <w:rPr>
          <w:rFonts w:ascii="Arial" w:hAnsi="Arial" w:cs="Arial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sz w:val="18"/>
          <w:szCs w:val="20"/>
        </w:rPr>
        <w:t>Jeler</w:t>
      </w:r>
      <w:proofErr w:type="spellEnd"/>
      <w:r w:rsidRPr="00F60D64">
        <w:rPr>
          <w:rFonts w:ascii="Arial" w:hAnsi="Arial" w:cs="Arial"/>
          <w:sz w:val="18"/>
          <w:szCs w:val="20"/>
        </w:rPr>
        <w:t xml:space="preserve"> E. Prva pomoč</w:t>
      </w:r>
      <w:r>
        <w:rPr>
          <w:rFonts w:ascii="Arial" w:hAnsi="Arial" w:cs="Arial"/>
          <w:sz w:val="18"/>
          <w:szCs w:val="20"/>
        </w:rPr>
        <w:t xml:space="preserve"> </w:t>
      </w:r>
      <w:r w:rsidRPr="00F60D64">
        <w:rPr>
          <w:rFonts w:ascii="Arial" w:hAnsi="Arial" w:cs="Arial"/>
          <w:sz w:val="18"/>
          <w:szCs w:val="20"/>
        </w:rPr>
        <w:t>-</w:t>
      </w:r>
      <w:r>
        <w:rPr>
          <w:rFonts w:ascii="Arial" w:hAnsi="Arial" w:cs="Arial"/>
          <w:sz w:val="18"/>
          <w:szCs w:val="20"/>
        </w:rPr>
        <w:t xml:space="preserve"> </w:t>
      </w:r>
      <w:r w:rsidRPr="00F60D64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>omagam prvi!. Prešernova družba, Ljubljana 2007</w:t>
      </w:r>
    </w:p>
    <w:p w:rsidR="003C2A15" w:rsidRDefault="003C2A15" w:rsidP="00C4219F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3C2A15">
        <w:rPr>
          <w:rFonts w:ascii="Arial" w:hAnsi="Arial" w:cs="Arial"/>
          <w:sz w:val="18"/>
          <w:szCs w:val="20"/>
        </w:rPr>
        <w:t>Imobilizacija s sodobnimi pripomočki, Posavec A. ur, Ljubljana</w:t>
      </w:r>
      <w:r>
        <w:rPr>
          <w:rFonts w:ascii="Arial" w:hAnsi="Arial" w:cs="Arial"/>
          <w:sz w:val="18"/>
          <w:szCs w:val="20"/>
        </w:rPr>
        <w:t xml:space="preserve"> 2006</w:t>
      </w:r>
      <w:r w:rsidRPr="003C2A15">
        <w:rPr>
          <w:rFonts w:ascii="Arial" w:hAnsi="Arial" w:cs="Arial"/>
          <w:sz w:val="18"/>
          <w:szCs w:val="20"/>
        </w:rPr>
        <w:t>, Zbornica – Zveza, dostopno na https://www.zbornica-zveza.si/sites/default/files/publication__</w:t>
      </w:r>
      <w:r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3C2A15">
        <w:rPr>
          <w:rFonts w:ascii="Arial" w:hAnsi="Arial" w:cs="Arial"/>
          <w:sz w:val="18"/>
          <w:szCs w:val="20"/>
        </w:rPr>
        <w:t>attachments</w:t>
      </w:r>
      <w:proofErr w:type="spellEnd"/>
      <w:r w:rsidRPr="003C2A15">
        <w:rPr>
          <w:rFonts w:ascii="Arial" w:hAnsi="Arial" w:cs="Arial"/>
          <w:sz w:val="18"/>
          <w:szCs w:val="20"/>
        </w:rPr>
        <w:t>/imobilizacija_s_sodobnimi_</w:t>
      </w:r>
      <w:proofErr w:type="spellStart"/>
      <w:r w:rsidRPr="003C2A15">
        <w:rPr>
          <w:rFonts w:ascii="Arial" w:hAnsi="Arial" w:cs="Arial"/>
          <w:sz w:val="18"/>
          <w:szCs w:val="20"/>
        </w:rPr>
        <w:t>pripomocki</w:t>
      </w:r>
      <w:proofErr w:type="spellEnd"/>
      <w:r w:rsidRPr="003C2A15">
        <w:rPr>
          <w:rFonts w:ascii="Arial" w:hAnsi="Arial" w:cs="Arial"/>
          <w:sz w:val="18"/>
          <w:szCs w:val="20"/>
        </w:rPr>
        <w:t>_</w:t>
      </w:r>
      <w:proofErr w:type="spellStart"/>
      <w:r w:rsidRPr="003C2A15">
        <w:rPr>
          <w:rFonts w:ascii="Arial" w:hAnsi="Arial" w:cs="Arial"/>
          <w:sz w:val="18"/>
          <w:szCs w:val="20"/>
        </w:rPr>
        <w:t>2006.pdf</w:t>
      </w:r>
      <w:proofErr w:type="spellEnd"/>
    </w:p>
    <w:p w:rsidR="004D75E7" w:rsidRP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4D75E7">
        <w:rPr>
          <w:rFonts w:ascii="Arial" w:hAnsi="Arial" w:cs="Arial"/>
          <w:sz w:val="18"/>
          <w:szCs w:val="20"/>
        </w:rPr>
        <w:t xml:space="preserve">Temeljni postopki oživljanja z uporabo AED, </w:t>
      </w:r>
      <w:proofErr w:type="spellStart"/>
      <w:r w:rsidRPr="004D75E7">
        <w:rPr>
          <w:rFonts w:ascii="Arial" w:hAnsi="Arial" w:cs="Arial"/>
          <w:sz w:val="18"/>
          <w:szCs w:val="20"/>
        </w:rPr>
        <w:t>Prestor</w:t>
      </w:r>
      <w:proofErr w:type="spellEnd"/>
      <w:r w:rsidRPr="004D75E7">
        <w:rPr>
          <w:rFonts w:ascii="Arial" w:hAnsi="Arial" w:cs="Arial"/>
          <w:sz w:val="18"/>
          <w:szCs w:val="20"/>
        </w:rPr>
        <w:t xml:space="preserve"> J. ur. Zbornica – Zveza, Ljubljana 2012, dostopno na https://www.zbornica-zveza.si/sites/default/files/publication__attachments/temeljni_postopki_ozivljanja_z_uporabo_aed_2012.pdf</w:t>
      </w:r>
    </w:p>
    <w:p w:rsidR="008367F2" w:rsidRDefault="008367F2" w:rsidP="008367F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4D75E7" w:rsidRDefault="004D75E7" w:rsidP="008367F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4D75E7" w:rsidRDefault="004D75E7" w:rsidP="008367F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4D75E7" w:rsidRPr="00413166" w:rsidRDefault="004D75E7" w:rsidP="008367F2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8367F2" w:rsidRPr="00413166" w:rsidRDefault="00AD61A2" w:rsidP="008367F2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TEHNIČNI DEL USPOSABLJANJA - </w:t>
      </w:r>
      <w:r w:rsidR="008367F2" w:rsidRPr="00413166">
        <w:rPr>
          <w:rFonts w:ascii="Arial" w:hAnsi="Arial" w:cs="Arial"/>
          <w:b/>
          <w:sz w:val="20"/>
          <w:szCs w:val="20"/>
        </w:rPr>
        <w:t xml:space="preserve">REŠEVANJE IN PREVOZ POŠKODOVANCEV </w:t>
      </w:r>
      <w:r w:rsidR="008367F2">
        <w:rPr>
          <w:rFonts w:ascii="Arial" w:hAnsi="Arial" w:cs="Arial"/>
          <w:b/>
          <w:sz w:val="20"/>
          <w:szCs w:val="20"/>
        </w:rPr>
        <w:t>PO</w:t>
      </w:r>
      <w:r w:rsidR="008367F2" w:rsidRPr="00413166">
        <w:rPr>
          <w:rFonts w:ascii="Arial" w:hAnsi="Arial" w:cs="Arial"/>
          <w:b/>
          <w:sz w:val="20"/>
          <w:szCs w:val="20"/>
        </w:rPr>
        <w:t xml:space="preserve"> SMUČIŠČU, VKLJUČNO Z ZNANJEM SMUČANJA</w:t>
      </w:r>
      <w:r w:rsidR="00A2660B">
        <w:rPr>
          <w:rFonts w:ascii="Arial" w:hAnsi="Arial" w:cs="Arial"/>
          <w:b/>
          <w:sz w:val="20"/>
          <w:szCs w:val="20"/>
        </w:rPr>
        <w:t xml:space="preserve"> ZA NAMEN PREVOZA</w:t>
      </w:r>
    </w:p>
    <w:p w:rsidR="008367F2" w:rsidRPr="00413166" w:rsidRDefault="008367F2" w:rsidP="008367F2">
      <w:pPr>
        <w:pStyle w:val="Glava"/>
        <w:tabs>
          <w:tab w:val="clear" w:pos="4536"/>
          <w:tab w:val="clear" w:pos="9072"/>
        </w:tabs>
        <w:ind w:left="1440"/>
        <w:jc w:val="both"/>
        <w:rPr>
          <w:rFonts w:ascii="Arial" w:hAnsi="Arial" w:cs="Arial"/>
          <w:sz w:val="20"/>
          <w:szCs w:val="20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6378"/>
        <w:gridCol w:w="1241"/>
        <w:gridCol w:w="1242"/>
        <w:gridCol w:w="1241"/>
        <w:gridCol w:w="1242"/>
      </w:tblGrid>
      <w:tr w:rsidR="00CF51F7" w:rsidRPr="004B0CAD" w:rsidTr="000552F6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0552F6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4B0CAD">
              <w:rPr>
                <w:rFonts w:ascii="Arial" w:hAnsi="Arial" w:cs="Arial"/>
                <w:b/>
                <w:sz w:val="18"/>
                <w:szCs w:val="20"/>
              </w:rPr>
              <w:t>Zap</w:t>
            </w:r>
            <w:proofErr w:type="spellEnd"/>
            <w:r w:rsidRPr="004B0CAD">
              <w:rPr>
                <w:rFonts w:ascii="Arial" w:hAnsi="Arial" w:cs="Arial"/>
                <w:b/>
                <w:sz w:val="18"/>
                <w:szCs w:val="20"/>
              </w:rPr>
              <w:t>.št.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0552F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Naslov poglavja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0552F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Vsebina poglavja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0552F6">
            <w:pPr>
              <w:ind w:left="-112" w:right="-145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Samostojna priprava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F51F7" w:rsidRPr="004B0CAD" w:rsidRDefault="00CF51F7" w:rsidP="000552F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Preda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vanja (ur)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CF51F7" w:rsidRPr="004B0CAD" w:rsidRDefault="00CF51F7" w:rsidP="000552F6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>Praktično delo (ur)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F51F7" w:rsidRPr="004B0CAD" w:rsidRDefault="00CF51F7" w:rsidP="000552F6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0CAD">
              <w:rPr>
                <w:rFonts w:ascii="Arial" w:hAnsi="Arial" w:cs="Arial"/>
                <w:b/>
                <w:sz w:val="18"/>
                <w:szCs w:val="20"/>
              </w:rPr>
              <w:t xml:space="preserve">Skupaj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(</w:t>
            </w:r>
            <w:r w:rsidRPr="004B0CAD">
              <w:rPr>
                <w:rFonts w:ascii="Arial" w:hAnsi="Arial" w:cs="Arial"/>
                <w:b/>
                <w:sz w:val="18"/>
                <w:szCs w:val="20"/>
              </w:rPr>
              <w:t>ur</w:t>
            </w:r>
            <w:r>
              <w:rPr>
                <w:rFonts w:ascii="Arial" w:hAnsi="Arial" w:cs="Arial"/>
                <w:b/>
                <w:sz w:val="18"/>
                <w:szCs w:val="20"/>
              </w:rPr>
              <w:t>)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Značilnosti okolja in nevarnosti na smučiščih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posebnosti in nevarnosti okolja v zimskih razmerah,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dejanja, ki so na smučiščih lahko nevarna,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osnova vremenoslovja,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sneg in nevarnost proženja snežnih plazov, 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osnove preobrazbe snega, plazov in drugih zimskih pojavov,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prepoznavanje in ustrezno prilagoditve različnim razmeram,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prepoznavanje različnih nevarnosti, zmanjševanje tveganja in racionalno reagiranje,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ocenjevanje posledice svojih dejanj in dejanj drugih, ki lahko povzročajo okoljsko in drugačno škodo,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izogibanje nevarnim okoliščinam,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ocenjevanje meteoroloških pogojev,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značilnosti snežne podlage in ocena stopnje tveganja pred plazovi.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Default="0049016E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Vzroki za poškodbe na smučiščih in razlike med načini gibanja predstavnikov različnih smučarskih zvrsti (alpsko smučanje, deskanj</w:t>
            </w:r>
            <w:r>
              <w:rPr>
                <w:rFonts w:ascii="Arial" w:hAnsi="Arial" w:cs="Arial"/>
                <w:sz w:val="20"/>
                <w:szCs w:val="20"/>
              </w:rPr>
              <w:t>e na snegu, telemark,</w:t>
            </w:r>
            <w:r w:rsidRPr="00413166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opredelitev glavnih vzrokov za poškodbe na smučiščih iz vidika smučarskih znanj, opreme in drugega,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opredelitev glavnih značilnosti različnih načinov gibanja na snegu (alpsko smučanje, deskanje na snegu, telemark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…),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prepoznavanje vzrokov za nesreče, ki so posledica pomanjkljivega znanja smučanja, neustrezne opreme in drugih dejavnikov,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ločitev med različnimi smučarskimi zvrstmi in zavedanje potencialnih nevarnosti glede na načine gibanja na snegu.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49016E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Oprema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tehnično 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reševanje na smučišču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osebne, tehnične in varovalne opreme, ki je potrebna za varno izvajanje reševanja na smučišču,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pravilna izbira in uporaba opreme za reševanje,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presoja o primerni opremi za dane okoliščine,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pravilno uporaba in vzdrževanje opreme,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preverjanje funkcionalnost opreme.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977E3D" w:rsidP="00DC64C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3A60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393A60" w:rsidP="00DC64C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393A60" w:rsidP="001842A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51F7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Organiziranje in izvajanje reševalne intervencije na </w:t>
            </w:r>
            <w:r w:rsidRPr="00413166">
              <w:rPr>
                <w:rFonts w:ascii="Arial" w:hAnsi="Arial" w:cs="Arial"/>
                <w:sz w:val="20"/>
                <w:szCs w:val="20"/>
              </w:rPr>
              <w:lastRenderedPageBreak/>
              <w:t>smučišču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pravilni način izvajanja reševalne intervencije na smučišču in načini aktiviranja, 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organizacija reševanja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glede na dane okoliščine in informacije iz 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mesta nesreče,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izbira pravilnega ter varnega način pristopa do mesta nesreče, zavarovanja mesta nesreče in izvedbe prvega pregleda ponesrečenca,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drugim reševalcem javi stanje ponesrečenca in zahteva pomoč v moštvu in opremi,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pravilen vnos in fiksiranje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ponesrečenca v prevoznem sredstvu glede na poškodbe in razmere na terenu,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izvajanje primopredaje ponesrečenca službi NMP po izvedenem prevozu.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0,5</w:t>
            </w:r>
          </w:p>
          <w:p w:rsidR="00393A60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393A60" w:rsidP="00E75D71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A488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Sodelovanje z drugimi reševalnimi službami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ocenjevanje situacije na kraju nesreče, stanje ponesrečenca in prepoznavanje možne posledice glede izbire načina reševanja,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načina aktiviranja službe NMP, GRS, HNMP,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potrebnih ukrepov pred prihodom ekipe NMP ali helikopterja,</w:t>
            </w:r>
          </w:p>
          <w:p w:rsidR="00CF51F7" w:rsidRPr="00413166" w:rsidRDefault="00CF51F7" w:rsidP="00A2660B">
            <w:pPr>
              <w:numPr>
                <w:ilvl w:val="0"/>
                <w:numId w:val="15"/>
              </w:numPr>
              <w:suppressAutoHyphens w:val="0"/>
              <w:autoSpaceDE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nje osnovnih pravil komunikacije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s posadko helikopterja in zagotavljanje varnost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ih pravil v zvezi z pristankom ter vzletom helikopterja</w:t>
            </w:r>
            <w:r w:rsidR="003136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977E3D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49016E" w:rsidP="008A488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51F7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Gibanje na smučišču v času intervencije - peš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uporaba posebnih varovalnih sredstev 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primeru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izrednih razmer na terenu (strmina, poledica, nevarnost zdrsa, nevarnost plazov,...),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tehnika hoje z derezami.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F51F7" w:rsidRPr="004131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49016E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 xml:space="preserve">Tehnika </w:t>
            </w:r>
            <w:r>
              <w:rPr>
                <w:rFonts w:ascii="Arial" w:hAnsi="Arial" w:cs="Arial"/>
                <w:sz w:val="20"/>
                <w:szCs w:val="20"/>
              </w:rPr>
              <w:t xml:space="preserve">prevoza </w:t>
            </w:r>
            <w:r w:rsidRPr="00413166">
              <w:rPr>
                <w:rFonts w:ascii="Arial" w:hAnsi="Arial" w:cs="Arial"/>
                <w:sz w:val="20"/>
                <w:szCs w:val="20"/>
              </w:rPr>
              <w:t>ponesrečenca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tehnika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prevoza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ponesrečenca z AKI čolnom in </w:t>
            </w:r>
            <w:proofErr w:type="spellStart"/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Kanadko</w:t>
            </w:r>
            <w:proofErr w:type="spellEnd"/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A2660B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tehnika dodatnih varovanj v izrednih razmerah (poledica, strmina, možnost zdrsa), varovanje iz fiksnih točk na in v bližini smučišča ter izbira primerne vrvne tehnike za varni spust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prevoznega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 xml:space="preserve"> sredstva s ponesrečencem</w:t>
            </w:r>
            <w:r w:rsidR="00A2660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F51F7" w:rsidRPr="00413166" w:rsidRDefault="00A2660B" w:rsidP="00A2660B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13166">
              <w:rPr>
                <w:rFonts w:ascii="Arial" w:hAnsi="Arial" w:cs="Arial"/>
                <w:sz w:val="20"/>
                <w:szCs w:val="20"/>
              </w:rPr>
              <w:t>načilnosti tehnike smučanja po smučarskih terenih različne zahtevnostne stopnje</w:t>
            </w:r>
            <w:r>
              <w:rPr>
                <w:rFonts w:ascii="Arial" w:hAnsi="Arial" w:cs="Arial"/>
                <w:sz w:val="20"/>
                <w:szCs w:val="20"/>
              </w:rPr>
              <w:t xml:space="preserve"> za namen reševanja in prevoza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A2660B" w:rsidP="00A2660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A2660B" w:rsidP="00A2660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A2660B" w:rsidP="00A2660B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Informiranje reševalcev v primeru pogrešanih oseb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postopki v iskalni intervenciji,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različnih načinov iskanja,</w:t>
            </w:r>
          </w:p>
          <w:p w:rsidR="00CF51F7" w:rsidRPr="00AD61A2" w:rsidRDefault="00CF51F7" w:rsidP="00AD61A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poznavanje postopkov za izvedbo iskalne intervencije in značilnosti povezane s takšno intervencijo.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F51F7" w:rsidRPr="00413166" w:rsidRDefault="00CF51F7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CF51F7" w:rsidRPr="00413166" w:rsidRDefault="0049016E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F51F7" w:rsidRPr="00413166" w:rsidTr="000552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6"/>
              </w:numPr>
              <w:suppressAutoHyphens w:val="0"/>
              <w:autoSpaceDE/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Pr="00413166" w:rsidRDefault="00CF51F7" w:rsidP="00787C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413166">
              <w:rPr>
                <w:rFonts w:ascii="Arial" w:hAnsi="Arial" w:cs="Arial"/>
                <w:sz w:val="20"/>
                <w:szCs w:val="20"/>
              </w:rPr>
              <w:t>Iskanje zasutih v plazu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postopkov reševalne akcije zasutih v plazu na smučišču,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spoznavanje načinov, ki se uporabijo pri iskanju zasutih v snežnem plazu,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uporaba opreme, ki je na razpolago za takojšn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t>o organiziranje iskanja zasutih v snežnem plazu,</w:t>
            </w:r>
          </w:p>
          <w:p w:rsidR="00CF51F7" w:rsidRPr="00413166" w:rsidRDefault="00CF51F7" w:rsidP="008367F2">
            <w:pPr>
              <w:numPr>
                <w:ilvl w:val="0"/>
                <w:numId w:val="15"/>
              </w:numPr>
              <w:suppressAutoHyphens w:val="0"/>
              <w:autoSpaceDE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poznavanje ukrepov ob najdbi žrtve (odkopavanje, NMP na smučišču, prevoz).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Default="00F121A3" w:rsidP="008A488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CF51F7" w:rsidRPr="00413166" w:rsidRDefault="00A2660B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CF51F7" w:rsidRPr="00413166" w:rsidRDefault="00A2660B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12" w:space="0" w:color="auto"/>
            </w:tcBorders>
          </w:tcPr>
          <w:p w:rsidR="00CF51F7" w:rsidRPr="00413166" w:rsidRDefault="0049016E" w:rsidP="008A488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51F7" w:rsidRPr="00413166" w:rsidTr="000552F6">
        <w:tc>
          <w:tcPr>
            <w:tcW w:w="974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1F7" w:rsidRPr="00413166" w:rsidRDefault="00CF51F7" w:rsidP="00787C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16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    Skupaj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1F7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9016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CF51F7" w:rsidRPr="00413166" w:rsidRDefault="0049016E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F51F7" w:rsidRPr="00413166">
              <w:rPr>
                <w:rFonts w:ascii="Arial" w:hAnsi="Arial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CF51F7" w:rsidRPr="00413166" w:rsidRDefault="00393A60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F51F7" w:rsidRPr="00413166">
              <w:rPr>
                <w:rFonts w:ascii="Arial" w:hAnsi="Arial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1F7" w:rsidRPr="00413166" w:rsidRDefault="00F121A3" w:rsidP="00787C6C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F51F7" w:rsidRPr="00413166">
              <w:rPr>
                <w:rFonts w:ascii="Arial" w:hAnsi="Arial" w:cs="Arial"/>
                <w:b/>
                <w:sz w:val="20"/>
                <w:szCs w:val="20"/>
              </w:rPr>
              <w:t xml:space="preserve"> ur</w:t>
            </w:r>
          </w:p>
        </w:tc>
      </w:tr>
    </w:tbl>
    <w:p w:rsidR="008367F2" w:rsidRPr="00871299" w:rsidRDefault="008367F2" w:rsidP="008367F2">
      <w:pPr>
        <w:spacing w:after="40"/>
        <w:jc w:val="both"/>
        <w:rPr>
          <w:rFonts w:ascii="Arial" w:hAnsi="Arial" w:cs="Arial"/>
          <w:sz w:val="12"/>
          <w:szCs w:val="12"/>
        </w:rPr>
      </w:pPr>
    </w:p>
    <w:p w:rsidR="004D75E7" w:rsidRPr="00871299" w:rsidRDefault="004D75E7" w:rsidP="004D75E7">
      <w:pPr>
        <w:spacing w:after="40"/>
        <w:jc w:val="both"/>
        <w:rPr>
          <w:rFonts w:ascii="Arial" w:hAnsi="Arial" w:cs="Arial"/>
          <w:sz w:val="12"/>
          <w:szCs w:val="12"/>
        </w:rPr>
      </w:pPr>
    </w:p>
    <w:p w:rsidR="004D75E7" w:rsidRPr="003C2A15" w:rsidRDefault="004D75E7" w:rsidP="004D75E7">
      <w:pPr>
        <w:spacing w:after="40"/>
        <w:ind w:left="2552" w:hanging="567"/>
        <w:jc w:val="both"/>
        <w:rPr>
          <w:rFonts w:ascii="Arial" w:hAnsi="Arial" w:cs="Arial"/>
          <w:sz w:val="18"/>
          <w:szCs w:val="20"/>
          <w:u w:val="single"/>
        </w:rPr>
      </w:pPr>
      <w:r w:rsidRPr="003C2A15">
        <w:rPr>
          <w:rFonts w:ascii="Arial" w:hAnsi="Arial" w:cs="Arial"/>
          <w:sz w:val="18"/>
          <w:szCs w:val="20"/>
          <w:u w:val="single"/>
        </w:rPr>
        <w:t>Viri za samostojno pripravo na preverjanje usposabljanja: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Agrež F. Alpsko smučanje, Ministrstvo za šolstvo in šport, Ljubljana 1996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Bele J, Rotovnik B. Reševanje v gorah, Gorska reševalna služba Slovenija, Kranj 2012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Golnar T. Turno smučanje, Planinska zveza Slovenija, Ljubljana 2002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Sever D, Bedrač G. Smučišče in oprema smučarskih prog, CPU, Ljubljana 2006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6F0FDB">
        <w:rPr>
          <w:rFonts w:ascii="Arial" w:hAnsi="Arial" w:cs="Arial"/>
          <w:sz w:val="18"/>
          <w:szCs w:val="20"/>
        </w:rPr>
        <w:t xml:space="preserve">Devetak P, Gajser V, </w:t>
      </w:r>
      <w:proofErr w:type="spellStart"/>
      <w:r w:rsidRPr="006F0FDB">
        <w:rPr>
          <w:rFonts w:ascii="Arial" w:hAnsi="Arial" w:cs="Arial"/>
          <w:sz w:val="18"/>
          <w:szCs w:val="20"/>
        </w:rPr>
        <w:t>Jeršinovec</w:t>
      </w:r>
      <w:proofErr w:type="spellEnd"/>
      <w:r w:rsidRPr="006F0FDB">
        <w:rPr>
          <w:rFonts w:ascii="Arial" w:hAnsi="Arial" w:cs="Arial"/>
          <w:sz w:val="18"/>
          <w:szCs w:val="20"/>
        </w:rPr>
        <w:t xml:space="preserve"> S, Krajec M, Kravos NA, </w:t>
      </w:r>
      <w:proofErr w:type="spellStart"/>
      <w:r w:rsidRPr="006F0FDB">
        <w:rPr>
          <w:rFonts w:ascii="Arial" w:hAnsi="Arial" w:cs="Arial"/>
          <w:sz w:val="18"/>
          <w:szCs w:val="20"/>
        </w:rPr>
        <w:t>Križič</w:t>
      </w:r>
      <w:proofErr w:type="spellEnd"/>
      <w:r w:rsidRPr="006F0FDB">
        <w:rPr>
          <w:rFonts w:ascii="Arial" w:hAnsi="Arial" w:cs="Arial"/>
          <w:sz w:val="18"/>
          <w:szCs w:val="20"/>
        </w:rPr>
        <w:t xml:space="preserve"> M, Virtič T. Preprečevanje poškodb na smučišču, dostopno na http://www.mf.uni-lj.si/dokumenti/5196c67207358908ef22c9180790f012.pdf</w:t>
      </w:r>
      <w:r>
        <w:rPr>
          <w:rFonts w:ascii="Arial" w:hAnsi="Arial" w:cs="Arial"/>
          <w:sz w:val="18"/>
          <w:szCs w:val="20"/>
        </w:rPr>
        <w:t xml:space="preserve"> 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Rustja, B</w:t>
      </w:r>
      <w:r w:rsidRPr="00F60D64">
        <w:rPr>
          <w:rFonts w:ascii="Arial" w:hAnsi="Arial" w:cs="Arial"/>
          <w:sz w:val="18"/>
          <w:szCs w:val="20"/>
        </w:rPr>
        <w:t>. Varn</w:t>
      </w:r>
      <w:r>
        <w:rPr>
          <w:rFonts w:ascii="Arial" w:hAnsi="Arial" w:cs="Arial"/>
          <w:sz w:val="18"/>
          <w:szCs w:val="20"/>
        </w:rPr>
        <w:t xml:space="preserve">o planinarjenje ter prva pomoč, </w:t>
      </w:r>
      <w:r w:rsidRPr="00F60D64">
        <w:rPr>
          <w:rFonts w:ascii="Arial" w:hAnsi="Arial" w:cs="Arial"/>
          <w:sz w:val="18"/>
          <w:szCs w:val="20"/>
        </w:rPr>
        <w:t xml:space="preserve">Centralna tehniška knjižnica Univerze v Ljubljani, Ljubljana 2006 </w:t>
      </w:r>
    </w:p>
    <w:p w:rsidR="004D75E7" w:rsidRDefault="004D75E7" w:rsidP="004D75E7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3C2A15">
        <w:rPr>
          <w:rFonts w:ascii="Arial" w:hAnsi="Arial" w:cs="Arial"/>
          <w:sz w:val="18"/>
          <w:szCs w:val="20"/>
        </w:rPr>
        <w:t xml:space="preserve">Tehnično reševanje v </w:t>
      </w:r>
      <w:proofErr w:type="spellStart"/>
      <w:r w:rsidRPr="003C2A15">
        <w:rPr>
          <w:rFonts w:ascii="Arial" w:hAnsi="Arial" w:cs="Arial"/>
          <w:sz w:val="18"/>
          <w:szCs w:val="20"/>
        </w:rPr>
        <w:t>predbolnišničnem</w:t>
      </w:r>
      <w:proofErr w:type="spellEnd"/>
      <w:r w:rsidRPr="003C2A15">
        <w:rPr>
          <w:rFonts w:ascii="Arial" w:hAnsi="Arial" w:cs="Arial"/>
          <w:sz w:val="18"/>
          <w:szCs w:val="20"/>
        </w:rPr>
        <w:t xml:space="preserve"> okolju - reševanje z višine in globine</w:t>
      </w:r>
      <w:r>
        <w:rPr>
          <w:rFonts w:ascii="Arial" w:hAnsi="Arial" w:cs="Arial"/>
          <w:sz w:val="18"/>
          <w:szCs w:val="20"/>
        </w:rPr>
        <w:t xml:space="preserve">, Posavec A. ur, Bohinjska Bela </w:t>
      </w:r>
      <w:r w:rsidRPr="003C2A15">
        <w:rPr>
          <w:rFonts w:ascii="Arial" w:hAnsi="Arial" w:cs="Arial"/>
          <w:sz w:val="18"/>
          <w:szCs w:val="20"/>
        </w:rPr>
        <w:t>2004</w:t>
      </w:r>
      <w:r>
        <w:rPr>
          <w:rFonts w:ascii="Arial" w:hAnsi="Arial" w:cs="Arial"/>
          <w:sz w:val="18"/>
          <w:szCs w:val="20"/>
        </w:rPr>
        <w:t>, dostopno na https</w:t>
      </w:r>
      <w:r w:rsidRPr="003C2A15">
        <w:rPr>
          <w:rFonts w:ascii="Arial" w:hAnsi="Arial" w:cs="Arial"/>
          <w:sz w:val="18"/>
          <w:szCs w:val="20"/>
        </w:rPr>
        <w:t>://www.zbornica-zveza.si/sites/</w:t>
      </w:r>
      <w:r>
        <w:rPr>
          <w:rFonts w:ascii="Arial" w:hAnsi="Arial" w:cs="Arial"/>
          <w:sz w:val="18"/>
          <w:szCs w:val="20"/>
        </w:rPr>
        <w:t xml:space="preserve"> </w:t>
      </w:r>
      <w:r w:rsidRPr="003C2A15">
        <w:rPr>
          <w:rFonts w:ascii="Arial" w:hAnsi="Arial" w:cs="Arial"/>
          <w:sz w:val="18"/>
          <w:szCs w:val="20"/>
        </w:rPr>
        <w:t>default/files/publication__attachments/tehnicno_resevanje_z_visine_in_globine_2004.pdf</w:t>
      </w:r>
    </w:p>
    <w:p w:rsidR="00A3523A" w:rsidRPr="00770BDE" w:rsidRDefault="00A3523A" w:rsidP="00A3523A">
      <w:pPr>
        <w:numPr>
          <w:ilvl w:val="0"/>
          <w:numId w:val="13"/>
        </w:numPr>
        <w:spacing w:after="40"/>
        <w:ind w:left="2127" w:hanging="284"/>
        <w:jc w:val="both"/>
        <w:rPr>
          <w:rFonts w:ascii="Arial" w:hAnsi="Arial" w:cs="Arial"/>
          <w:sz w:val="18"/>
          <w:szCs w:val="20"/>
        </w:rPr>
      </w:pPr>
      <w:r w:rsidRPr="00770BDE">
        <w:rPr>
          <w:rFonts w:ascii="Arial" w:hAnsi="Arial" w:cs="Arial"/>
          <w:sz w:val="18"/>
          <w:szCs w:val="20"/>
        </w:rPr>
        <w:t>e-učbenik Gorske reševalne zveze Slovenije, dostopno na http://e-ucbenik.grzs.si/index.php?title=Glavna_stran</w:t>
      </w:r>
    </w:p>
    <w:p w:rsidR="00A3523A" w:rsidRPr="004D75E7" w:rsidRDefault="00A3523A" w:rsidP="00A3523A">
      <w:pPr>
        <w:spacing w:after="40"/>
        <w:ind w:left="2127"/>
        <w:jc w:val="both"/>
        <w:rPr>
          <w:rFonts w:ascii="Arial" w:hAnsi="Arial" w:cs="Arial"/>
          <w:sz w:val="18"/>
          <w:szCs w:val="20"/>
        </w:rPr>
      </w:pPr>
    </w:p>
    <w:p w:rsidR="006F7AEE" w:rsidRDefault="006F7AEE" w:rsidP="004D75E7">
      <w:pPr>
        <w:spacing w:after="40"/>
        <w:jc w:val="both"/>
      </w:pPr>
    </w:p>
    <w:sectPr w:rsidR="006F7AEE" w:rsidSect="00836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9B4F48"/>
    <w:multiLevelType w:val="hybridMultilevel"/>
    <w:tmpl w:val="FD52ED46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317AB"/>
    <w:multiLevelType w:val="hybridMultilevel"/>
    <w:tmpl w:val="57221BAE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5F64"/>
    <w:multiLevelType w:val="multilevel"/>
    <w:tmpl w:val="14BE31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4">
    <w:nsid w:val="30FF6581"/>
    <w:multiLevelType w:val="hybridMultilevel"/>
    <w:tmpl w:val="94202480"/>
    <w:lvl w:ilvl="0" w:tplc="7E588E7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9D4759"/>
    <w:multiLevelType w:val="hybridMultilevel"/>
    <w:tmpl w:val="A5A0575A"/>
    <w:lvl w:ilvl="0" w:tplc="F78C534E">
      <w:numFmt w:val="none"/>
      <w:lvlText w:val="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551EF"/>
    <w:multiLevelType w:val="multilevel"/>
    <w:tmpl w:val="FFF4BE5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1432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CBD21C5"/>
    <w:multiLevelType w:val="hybridMultilevel"/>
    <w:tmpl w:val="5E729AFC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D5B5B"/>
    <w:multiLevelType w:val="hybridMultilevel"/>
    <w:tmpl w:val="6EA2AAF4"/>
    <w:lvl w:ilvl="0" w:tplc="7AD4A4F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6F0E72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7E5271E0"/>
    <w:multiLevelType w:val="multilevel"/>
    <w:tmpl w:val="C8EED19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  <w:num w:numId="14">
    <w:abstractNumId w:val="4"/>
  </w:num>
  <w:num w:numId="15">
    <w:abstractNumId w:val="7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F2"/>
    <w:rsid w:val="00033DD0"/>
    <w:rsid w:val="000474CC"/>
    <w:rsid w:val="000552F6"/>
    <w:rsid w:val="000841AA"/>
    <w:rsid w:val="000A4C94"/>
    <w:rsid w:val="000B3B29"/>
    <w:rsid w:val="000C72CA"/>
    <w:rsid w:val="00160518"/>
    <w:rsid w:val="00172162"/>
    <w:rsid w:val="001814A5"/>
    <w:rsid w:val="001842AB"/>
    <w:rsid w:val="002F2804"/>
    <w:rsid w:val="003136A8"/>
    <w:rsid w:val="003545FA"/>
    <w:rsid w:val="003871C3"/>
    <w:rsid w:val="00393A60"/>
    <w:rsid w:val="003C2A15"/>
    <w:rsid w:val="003E2B29"/>
    <w:rsid w:val="003E5725"/>
    <w:rsid w:val="00434C8A"/>
    <w:rsid w:val="004721C4"/>
    <w:rsid w:val="0049016E"/>
    <w:rsid w:val="004B0CAD"/>
    <w:rsid w:val="004D75E7"/>
    <w:rsid w:val="004E6FB6"/>
    <w:rsid w:val="00536C4C"/>
    <w:rsid w:val="0058615F"/>
    <w:rsid w:val="00597EED"/>
    <w:rsid w:val="00621799"/>
    <w:rsid w:val="00636181"/>
    <w:rsid w:val="0068058E"/>
    <w:rsid w:val="006F0FDB"/>
    <w:rsid w:val="006F7AEE"/>
    <w:rsid w:val="00787C6C"/>
    <w:rsid w:val="007921C8"/>
    <w:rsid w:val="007D082B"/>
    <w:rsid w:val="007F3949"/>
    <w:rsid w:val="00830347"/>
    <w:rsid w:val="008367F2"/>
    <w:rsid w:val="00871299"/>
    <w:rsid w:val="008A488C"/>
    <w:rsid w:val="00977E3D"/>
    <w:rsid w:val="00985899"/>
    <w:rsid w:val="009D55BE"/>
    <w:rsid w:val="00A2660B"/>
    <w:rsid w:val="00A3523A"/>
    <w:rsid w:val="00AD61A2"/>
    <w:rsid w:val="00AF7F14"/>
    <w:rsid w:val="00B00271"/>
    <w:rsid w:val="00B20B4A"/>
    <w:rsid w:val="00BB4171"/>
    <w:rsid w:val="00C366D2"/>
    <w:rsid w:val="00C4219F"/>
    <w:rsid w:val="00C771C1"/>
    <w:rsid w:val="00CB6EAB"/>
    <w:rsid w:val="00CF51F7"/>
    <w:rsid w:val="00D25035"/>
    <w:rsid w:val="00D25D29"/>
    <w:rsid w:val="00DC64CE"/>
    <w:rsid w:val="00E22DFF"/>
    <w:rsid w:val="00E75D71"/>
    <w:rsid w:val="00EB7090"/>
    <w:rsid w:val="00EF25C7"/>
    <w:rsid w:val="00F121A3"/>
    <w:rsid w:val="00F60D64"/>
    <w:rsid w:val="00FA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67F2"/>
    <w:pPr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CB6EAB"/>
    <w:pPr>
      <w:keepNext/>
      <w:pageBreakBefore/>
      <w:numPr>
        <w:numId w:val="9"/>
      </w:numPr>
      <w:spacing w:after="24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6EAB"/>
    <w:pPr>
      <w:keepNext/>
      <w:numPr>
        <w:ilvl w:val="1"/>
        <w:numId w:val="9"/>
      </w:numPr>
      <w:spacing w:before="240" w:after="240"/>
      <w:outlineLvl w:val="1"/>
    </w:pPr>
    <w:rPr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B6EAB"/>
    <w:pPr>
      <w:keepNext/>
      <w:numPr>
        <w:ilvl w:val="2"/>
        <w:numId w:val="9"/>
      </w:numPr>
      <w:spacing w:before="240" w:after="24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6EAB"/>
    <w:pPr>
      <w:keepNext/>
      <w:numPr>
        <w:ilvl w:val="3"/>
        <w:numId w:val="9"/>
      </w:numPr>
      <w:spacing w:before="240" w:after="240"/>
      <w:outlineLvl w:val="3"/>
    </w:pPr>
    <w:rPr>
      <w:b/>
      <w:bCs/>
      <w:sz w:val="22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EAB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EAB"/>
    <w:pPr>
      <w:numPr>
        <w:ilvl w:val="5"/>
        <w:numId w:val="9"/>
      </w:numPr>
      <w:spacing w:before="240" w:after="60"/>
      <w:outlineLvl w:val="5"/>
    </w:pPr>
    <w:rPr>
      <w:b/>
      <w:bCs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EAB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EAB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EAB"/>
    <w:pPr>
      <w:spacing w:before="240" w:after="60"/>
      <w:ind w:left="1584" w:hanging="1584"/>
      <w:outlineLvl w:val="8"/>
    </w:pPr>
    <w:rPr>
      <w:rFonts w:ascii="Cambria" w:hAnsi="Cambri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CB6EAB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rsid w:val="00CB6EAB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slov3Znak">
    <w:name w:val="Naslov 3 Znak"/>
    <w:link w:val="Naslov3"/>
    <w:uiPriority w:val="9"/>
    <w:rsid w:val="00CB6EAB"/>
    <w:rPr>
      <w:rFonts w:eastAsia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CB6EAB"/>
    <w:rPr>
      <w:rFonts w:eastAsia="Times New Roman"/>
      <w:b/>
      <w:bCs/>
      <w:sz w:val="22"/>
      <w:szCs w:val="28"/>
      <w:lang w:eastAsia="en-US"/>
    </w:rPr>
  </w:style>
  <w:style w:type="character" w:customStyle="1" w:styleId="Naslov5Znak">
    <w:name w:val="Naslov 5 Znak"/>
    <w:link w:val="Naslov5"/>
    <w:uiPriority w:val="9"/>
    <w:semiHidden/>
    <w:rsid w:val="00CB6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link w:val="Naslov6"/>
    <w:uiPriority w:val="9"/>
    <w:semiHidden/>
    <w:rsid w:val="00CB6EAB"/>
    <w:rPr>
      <w:rFonts w:eastAsia="Times New Roman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CB6EAB"/>
    <w:rPr>
      <w:rFonts w:eastAsia="Times New Roman"/>
      <w:sz w:val="24"/>
      <w:szCs w:val="24"/>
      <w:lang w:eastAsia="en-US"/>
    </w:rPr>
  </w:style>
  <w:style w:type="character" w:customStyle="1" w:styleId="Naslov8Znak">
    <w:name w:val="Naslov 8 Znak"/>
    <w:link w:val="Naslov8"/>
    <w:uiPriority w:val="9"/>
    <w:semiHidden/>
    <w:rsid w:val="00CB6EAB"/>
    <w:rPr>
      <w:rFonts w:eastAsia="Times New Roman"/>
      <w:i/>
      <w:iCs/>
      <w:sz w:val="24"/>
      <w:szCs w:val="24"/>
      <w:lang w:eastAsia="en-US"/>
    </w:rPr>
  </w:style>
  <w:style w:type="character" w:customStyle="1" w:styleId="Naslov9Znak">
    <w:name w:val="Naslov 9 Znak"/>
    <w:link w:val="Naslov9"/>
    <w:uiPriority w:val="9"/>
    <w:semiHidden/>
    <w:rsid w:val="00CB6EAB"/>
    <w:rPr>
      <w:rFonts w:ascii="Cambria" w:eastAsia="Times New Roman" w:hAnsi="Cambria"/>
      <w:sz w:val="22"/>
      <w:szCs w:val="22"/>
      <w:lang w:eastAsia="en-US"/>
    </w:rPr>
  </w:style>
  <w:style w:type="paragraph" w:styleId="Brezrazmikov">
    <w:name w:val="No Spacing"/>
    <w:link w:val="BrezrazmikovZnak"/>
    <w:uiPriority w:val="1"/>
    <w:qFormat/>
    <w:rsid w:val="00CB6EAB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6EAB"/>
    <w:rPr>
      <w:rFonts w:eastAsia="Times New Roman"/>
      <w:sz w:val="22"/>
      <w:szCs w:val="22"/>
    </w:rPr>
  </w:style>
  <w:style w:type="paragraph" w:styleId="Glava">
    <w:name w:val="header"/>
    <w:basedOn w:val="Navaden"/>
    <w:link w:val="GlavaZnak"/>
    <w:rsid w:val="008367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367F2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3C2A15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3C2A15"/>
    <w:rPr>
      <w:color w:val="2B579A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61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618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67F2"/>
    <w:pPr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CB6EAB"/>
    <w:pPr>
      <w:keepNext/>
      <w:pageBreakBefore/>
      <w:numPr>
        <w:numId w:val="9"/>
      </w:numPr>
      <w:spacing w:after="24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6EAB"/>
    <w:pPr>
      <w:keepNext/>
      <w:numPr>
        <w:ilvl w:val="1"/>
        <w:numId w:val="9"/>
      </w:numPr>
      <w:spacing w:before="240" w:after="240"/>
      <w:outlineLvl w:val="1"/>
    </w:pPr>
    <w:rPr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B6EAB"/>
    <w:pPr>
      <w:keepNext/>
      <w:numPr>
        <w:ilvl w:val="2"/>
        <w:numId w:val="9"/>
      </w:numPr>
      <w:spacing w:before="240" w:after="24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6EAB"/>
    <w:pPr>
      <w:keepNext/>
      <w:numPr>
        <w:ilvl w:val="3"/>
        <w:numId w:val="9"/>
      </w:numPr>
      <w:spacing w:before="240" w:after="240"/>
      <w:outlineLvl w:val="3"/>
    </w:pPr>
    <w:rPr>
      <w:b/>
      <w:bCs/>
      <w:sz w:val="22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EAB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EAB"/>
    <w:pPr>
      <w:numPr>
        <w:ilvl w:val="5"/>
        <w:numId w:val="9"/>
      </w:numPr>
      <w:spacing w:before="240" w:after="60"/>
      <w:outlineLvl w:val="5"/>
    </w:pPr>
    <w:rPr>
      <w:b/>
      <w:bCs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EAB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EAB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EAB"/>
    <w:pPr>
      <w:spacing w:before="240" w:after="60"/>
      <w:ind w:left="1584" w:hanging="1584"/>
      <w:outlineLvl w:val="8"/>
    </w:pPr>
    <w:rPr>
      <w:rFonts w:ascii="Cambria" w:hAnsi="Cambri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CB6EAB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"/>
    <w:rsid w:val="00CB6EAB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slov3Znak">
    <w:name w:val="Naslov 3 Znak"/>
    <w:link w:val="Naslov3"/>
    <w:uiPriority w:val="9"/>
    <w:rsid w:val="00CB6EAB"/>
    <w:rPr>
      <w:rFonts w:eastAsia="Times New Roman"/>
      <w:b/>
      <w:bCs/>
      <w:sz w:val="26"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CB6EAB"/>
    <w:rPr>
      <w:rFonts w:eastAsia="Times New Roman"/>
      <w:b/>
      <w:bCs/>
      <w:sz w:val="22"/>
      <w:szCs w:val="28"/>
      <w:lang w:eastAsia="en-US"/>
    </w:rPr>
  </w:style>
  <w:style w:type="character" w:customStyle="1" w:styleId="Naslov5Znak">
    <w:name w:val="Naslov 5 Znak"/>
    <w:link w:val="Naslov5"/>
    <w:uiPriority w:val="9"/>
    <w:semiHidden/>
    <w:rsid w:val="00CB6EA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link w:val="Naslov6"/>
    <w:uiPriority w:val="9"/>
    <w:semiHidden/>
    <w:rsid w:val="00CB6EAB"/>
    <w:rPr>
      <w:rFonts w:eastAsia="Times New Roman"/>
      <w:b/>
      <w:bCs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CB6EAB"/>
    <w:rPr>
      <w:rFonts w:eastAsia="Times New Roman"/>
      <w:sz w:val="24"/>
      <w:szCs w:val="24"/>
      <w:lang w:eastAsia="en-US"/>
    </w:rPr>
  </w:style>
  <w:style w:type="character" w:customStyle="1" w:styleId="Naslov8Znak">
    <w:name w:val="Naslov 8 Znak"/>
    <w:link w:val="Naslov8"/>
    <w:uiPriority w:val="9"/>
    <w:semiHidden/>
    <w:rsid w:val="00CB6EAB"/>
    <w:rPr>
      <w:rFonts w:eastAsia="Times New Roman"/>
      <w:i/>
      <w:iCs/>
      <w:sz w:val="24"/>
      <w:szCs w:val="24"/>
      <w:lang w:eastAsia="en-US"/>
    </w:rPr>
  </w:style>
  <w:style w:type="character" w:customStyle="1" w:styleId="Naslov9Znak">
    <w:name w:val="Naslov 9 Znak"/>
    <w:link w:val="Naslov9"/>
    <w:uiPriority w:val="9"/>
    <w:semiHidden/>
    <w:rsid w:val="00CB6EAB"/>
    <w:rPr>
      <w:rFonts w:ascii="Cambria" w:eastAsia="Times New Roman" w:hAnsi="Cambria"/>
      <w:sz w:val="22"/>
      <w:szCs w:val="22"/>
      <w:lang w:eastAsia="en-US"/>
    </w:rPr>
  </w:style>
  <w:style w:type="paragraph" w:styleId="Brezrazmikov">
    <w:name w:val="No Spacing"/>
    <w:link w:val="BrezrazmikovZnak"/>
    <w:uiPriority w:val="1"/>
    <w:qFormat/>
    <w:rsid w:val="00CB6EAB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6EAB"/>
    <w:rPr>
      <w:rFonts w:eastAsia="Times New Roman"/>
      <w:sz w:val="22"/>
      <w:szCs w:val="22"/>
    </w:rPr>
  </w:style>
  <w:style w:type="paragraph" w:styleId="Glava">
    <w:name w:val="header"/>
    <w:basedOn w:val="Navaden"/>
    <w:link w:val="GlavaZnak"/>
    <w:rsid w:val="008367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367F2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3C2A15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3C2A15"/>
    <w:rPr>
      <w:color w:val="2B579A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61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61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JozeP</dc:creator>
  <cp:lastModifiedBy>Alenka KOVAČ ARH</cp:lastModifiedBy>
  <cp:revision>8</cp:revision>
  <dcterms:created xsi:type="dcterms:W3CDTF">2018-01-18T08:33:00Z</dcterms:created>
  <dcterms:modified xsi:type="dcterms:W3CDTF">2018-02-23T15:05:00Z</dcterms:modified>
</cp:coreProperties>
</file>