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CD8" w:rsidRDefault="00F32CD8" w:rsidP="00E706C5">
      <w:pPr>
        <w:contextualSpacing/>
        <w:mirrorIndents/>
        <w:jc w:val="right"/>
        <w:rPr>
          <w:rFonts w:asciiTheme="minorHAnsi" w:hAnsiTheme="minorHAnsi" w:cstheme="minorHAnsi"/>
          <w:b/>
        </w:rPr>
      </w:pPr>
      <w:r w:rsidRPr="00540EC6">
        <w:rPr>
          <w:rFonts w:asciiTheme="minorHAnsi" w:hAnsiTheme="minorHAnsi" w:cstheme="minorHAnsi"/>
          <w:b/>
        </w:rPr>
        <w:t>1</w:t>
      </w:r>
      <w:r w:rsidR="00605E75">
        <w:rPr>
          <w:rFonts w:asciiTheme="minorHAnsi" w:hAnsiTheme="minorHAnsi" w:cstheme="minorHAnsi"/>
          <w:b/>
        </w:rPr>
        <w:t>4</w:t>
      </w:r>
      <w:bookmarkStart w:id="0" w:name="_GoBack"/>
      <w:bookmarkEnd w:id="0"/>
      <w:r w:rsidRPr="00540EC6">
        <w:rPr>
          <w:rFonts w:asciiTheme="minorHAnsi" w:hAnsiTheme="minorHAnsi" w:cstheme="minorHAnsi"/>
          <w:b/>
        </w:rPr>
        <w:t>. 6. 2019</w:t>
      </w:r>
    </w:p>
    <w:p w:rsidR="00E706C5" w:rsidRPr="00540EC6" w:rsidRDefault="00E706C5" w:rsidP="00E706C5">
      <w:pPr>
        <w:contextualSpacing/>
        <w:mirrorIndents/>
        <w:jc w:val="right"/>
        <w:rPr>
          <w:rFonts w:asciiTheme="minorHAnsi" w:hAnsiTheme="minorHAnsi" w:cstheme="minorHAnsi"/>
          <w:b/>
        </w:rPr>
      </w:pPr>
    </w:p>
    <w:p w:rsidR="006D7F93" w:rsidRPr="00540EC6" w:rsidRDefault="00CC4A6E" w:rsidP="00E706C5">
      <w:pPr>
        <w:contextualSpacing/>
        <w:mirrorIndents/>
        <w:jc w:val="center"/>
        <w:rPr>
          <w:rFonts w:asciiTheme="minorHAnsi" w:hAnsiTheme="minorHAnsi" w:cstheme="minorHAnsi"/>
          <w:b/>
        </w:rPr>
      </w:pPr>
      <w:r w:rsidRPr="00540EC6">
        <w:rPr>
          <w:rFonts w:asciiTheme="minorHAnsi" w:hAnsiTheme="minorHAnsi" w:cstheme="minorHAnsi"/>
          <w:b/>
        </w:rPr>
        <w:t>ANALIZA OCENE FINANČNEGA UČINKA NA PRORAČUNE OBČIN KOT POSLEDICA SPREMENJENIH IZHODIŠČNIH PLAČNIH RAZREDOV DELOVNIH MEST IN NAZIVOV, KI SO BILI DOGOVORJENI Z ANEKSI H KOLEKTIVNIM POGODBAM V DECEMBRU 2018</w:t>
      </w:r>
    </w:p>
    <w:p w:rsidR="00CC4A6E" w:rsidRPr="00540EC6" w:rsidRDefault="006D7F93" w:rsidP="00E706C5">
      <w:pPr>
        <w:contextualSpacing/>
        <w:mirrorIndents/>
        <w:jc w:val="center"/>
        <w:rPr>
          <w:rFonts w:asciiTheme="minorHAnsi" w:hAnsiTheme="minorHAnsi" w:cstheme="minorHAnsi"/>
          <w:b/>
        </w:rPr>
      </w:pPr>
      <w:r w:rsidRPr="00540EC6">
        <w:rPr>
          <w:rFonts w:asciiTheme="minorHAnsi" w:hAnsiTheme="minorHAnsi" w:cstheme="minorHAnsi"/>
          <w:b/>
        </w:rPr>
        <w:t>U</w:t>
      </w:r>
      <w:r w:rsidR="001C42DF" w:rsidRPr="00540EC6">
        <w:rPr>
          <w:rFonts w:asciiTheme="minorHAnsi" w:hAnsiTheme="minorHAnsi" w:cstheme="minorHAnsi"/>
          <w:b/>
        </w:rPr>
        <w:t>vodn</w:t>
      </w:r>
      <w:r w:rsidRPr="00540EC6">
        <w:rPr>
          <w:rFonts w:asciiTheme="minorHAnsi" w:hAnsiTheme="minorHAnsi" w:cstheme="minorHAnsi"/>
          <w:b/>
        </w:rPr>
        <w:t>a pojasnila</w:t>
      </w:r>
    </w:p>
    <w:p w:rsidR="00CC4A6E" w:rsidRPr="00540EC6" w:rsidRDefault="00CC4A6E" w:rsidP="00540EC6">
      <w:pPr>
        <w:contextualSpacing/>
        <w:mirrorIndents/>
        <w:jc w:val="both"/>
        <w:rPr>
          <w:rFonts w:asciiTheme="minorHAnsi" w:hAnsiTheme="minorHAnsi" w:cstheme="minorHAnsi"/>
        </w:rPr>
      </w:pPr>
    </w:p>
    <w:p w:rsidR="00CC4A6E" w:rsidRPr="00540EC6" w:rsidRDefault="00CC4A6E" w:rsidP="00540EC6">
      <w:pPr>
        <w:contextualSpacing/>
        <w:mirrorIndents/>
        <w:jc w:val="both"/>
        <w:rPr>
          <w:rFonts w:asciiTheme="minorHAnsi" w:hAnsiTheme="minorHAnsi" w:cstheme="minorHAnsi"/>
        </w:rPr>
      </w:pPr>
    </w:p>
    <w:p w:rsidR="00CC4A6E" w:rsidRPr="00540EC6" w:rsidRDefault="00CC4A6E" w:rsidP="00540EC6">
      <w:pPr>
        <w:contextualSpacing/>
        <w:mirrorIndents/>
        <w:jc w:val="both"/>
        <w:rPr>
          <w:rFonts w:asciiTheme="minorHAnsi" w:hAnsiTheme="minorHAnsi" w:cstheme="minorHAnsi"/>
        </w:rPr>
      </w:pPr>
    </w:p>
    <w:p w:rsidR="00CC4A6E" w:rsidRPr="00540EC6" w:rsidRDefault="00CC4A6E" w:rsidP="00540EC6">
      <w:pPr>
        <w:pStyle w:val="Odstavekseznama"/>
        <w:numPr>
          <w:ilvl w:val="0"/>
          <w:numId w:val="5"/>
        </w:numPr>
        <w:ind w:left="0"/>
        <w:contextualSpacing/>
        <w:mirrorIndents/>
        <w:jc w:val="both"/>
        <w:rPr>
          <w:rFonts w:asciiTheme="minorHAnsi" w:hAnsiTheme="minorHAnsi" w:cstheme="minorHAnsi"/>
          <w:b/>
        </w:rPr>
      </w:pPr>
      <w:r w:rsidRPr="00540EC6">
        <w:rPr>
          <w:rFonts w:asciiTheme="minorHAnsi" w:hAnsiTheme="minorHAnsi" w:cstheme="minorHAnsi"/>
          <w:b/>
        </w:rPr>
        <w:t>Razlogi za pripravo analize o vpliva sporazuma s sindikati na stroške občin</w:t>
      </w:r>
    </w:p>
    <w:p w:rsidR="002A434C" w:rsidRPr="00540EC6" w:rsidRDefault="002A434C" w:rsidP="00540EC6">
      <w:pPr>
        <w:contextualSpacing/>
        <w:mirrorIndents/>
        <w:jc w:val="both"/>
        <w:rPr>
          <w:rFonts w:asciiTheme="minorHAnsi" w:hAnsiTheme="minorHAnsi" w:cstheme="minorHAnsi"/>
          <w:b/>
        </w:rPr>
      </w:pPr>
    </w:p>
    <w:p w:rsidR="002A434C" w:rsidRPr="00540EC6" w:rsidRDefault="002A434C" w:rsidP="00540EC6">
      <w:pPr>
        <w:contextualSpacing/>
        <w:mirrorIndents/>
        <w:jc w:val="both"/>
        <w:rPr>
          <w:rFonts w:asciiTheme="minorHAnsi" w:eastAsia="Times New Roman" w:hAnsiTheme="minorHAnsi" w:cstheme="minorHAnsi"/>
        </w:rPr>
      </w:pPr>
      <w:r w:rsidRPr="00540EC6">
        <w:rPr>
          <w:rFonts w:asciiTheme="minorHAnsi" w:eastAsia="Times New Roman" w:hAnsiTheme="minorHAnsi" w:cstheme="minorHAnsi"/>
        </w:rPr>
        <w:t xml:space="preserve">Analiza </w:t>
      </w:r>
      <w:r w:rsidRPr="00540EC6">
        <w:rPr>
          <w:rFonts w:asciiTheme="minorHAnsi" w:hAnsiTheme="minorHAnsi" w:cstheme="minorHAnsi"/>
        </w:rPr>
        <w:t xml:space="preserve">ocene finančnega učinka kot posledica spremenjenih izhodiščnih plačnih razredov delovnih mest in nazivov, ki so bili dogovorjeni z aneksi h kolektivnim pogodbam v decembru 2018 (v nadaljevanju analiza) je bila pripravljena na podlagi </w:t>
      </w:r>
      <w:r w:rsidRPr="00540EC6">
        <w:rPr>
          <w:rFonts w:asciiTheme="minorHAnsi" w:eastAsia="Times New Roman" w:hAnsiTheme="minorHAnsi" w:cstheme="minorHAnsi"/>
        </w:rPr>
        <w:t>zaveze Vlade Republike Slovenije z novembra 2018, ko je s predstavniki reprezentativnih združenj sklenila Dogovor o višini povprečnine za leto 2019. V 3. točki dogovora je določeno, da bodo Vlada RS in reprezentativna združenja občin po šestih mesecih preverili učinke navedenega dogovora s sindikati javnega sektorja na višino stroškov občin.</w:t>
      </w:r>
    </w:p>
    <w:p w:rsidR="00CC4A6E" w:rsidRPr="00540EC6" w:rsidRDefault="00CC4A6E" w:rsidP="00540EC6">
      <w:pPr>
        <w:contextualSpacing/>
        <w:mirrorIndents/>
        <w:jc w:val="both"/>
        <w:rPr>
          <w:rFonts w:asciiTheme="minorHAnsi" w:hAnsiTheme="minorHAnsi" w:cstheme="minorHAnsi"/>
        </w:rPr>
      </w:pPr>
    </w:p>
    <w:p w:rsidR="00CC4A6E" w:rsidRPr="00540EC6" w:rsidRDefault="000C590D" w:rsidP="00540EC6">
      <w:pPr>
        <w:pStyle w:val="Odstavekseznama"/>
        <w:numPr>
          <w:ilvl w:val="0"/>
          <w:numId w:val="5"/>
        </w:numPr>
        <w:ind w:left="0"/>
        <w:contextualSpacing/>
        <w:mirrorIndents/>
        <w:jc w:val="both"/>
        <w:rPr>
          <w:rFonts w:asciiTheme="minorHAnsi" w:hAnsiTheme="minorHAnsi" w:cstheme="minorHAnsi"/>
          <w:b/>
        </w:rPr>
      </w:pPr>
      <w:r w:rsidRPr="00540EC6">
        <w:rPr>
          <w:rFonts w:asciiTheme="minorHAnsi" w:hAnsiTheme="minorHAnsi" w:cstheme="minorHAnsi"/>
          <w:b/>
        </w:rPr>
        <w:t>Vzporedne</w:t>
      </w:r>
      <w:r w:rsidR="00CC4A6E" w:rsidRPr="00540EC6">
        <w:rPr>
          <w:rFonts w:asciiTheme="minorHAnsi" w:hAnsiTheme="minorHAnsi" w:cstheme="minorHAnsi"/>
          <w:b/>
        </w:rPr>
        <w:t xml:space="preserve"> ocene vpliva sporazuma s sindikati na stroške občin </w:t>
      </w:r>
    </w:p>
    <w:p w:rsidR="00CC4A6E" w:rsidRPr="00540EC6" w:rsidRDefault="00CC4A6E" w:rsidP="00540EC6">
      <w:pPr>
        <w:contextualSpacing/>
        <w:mirrorIndents/>
        <w:jc w:val="both"/>
        <w:rPr>
          <w:rFonts w:asciiTheme="minorHAnsi" w:hAnsiTheme="minorHAnsi" w:cstheme="minorHAnsi"/>
        </w:rPr>
      </w:pPr>
    </w:p>
    <w:p w:rsidR="00F32CD8" w:rsidRPr="00540EC6" w:rsidRDefault="00F32CD8" w:rsidP="00540EC6">
      <w:pPr>
        <w:contextualSpacing/>
        <w:mirrorIndents/>
        <w:jc w:val="both"/>
        <w:rPr>
          <w:rFonts w:asciiTheme="minorHAnsi" w:hAnsiTheme="minorHAnsi" w:cstheme="minorHAnsi"/>
        </w:rPr>
      </w:pPr>
      <w:r w:rsidRPr="00540EC6">
        <w:rPr>
          <w:rFonts w:asciiTheme="minorHAnsi" w:hAnsiTheme="minorHAnsi" w:cstheme="minorHAnsi"/>
        </w:rPr>
        <w:t xml:space="preserve">Ministrstvo za finance je </w:t>
      </w:r>
      <w:r w:rsidR="00496B55" w:rsidRPr="00540EC6">
        <w:rPr>
          <w:rFonts w:asciiTheme="minorHAnsi" w:hAnsiTheme="minorHAnsi" w:cstheme="minorHAnsi"/>
        </w:rPr>
        <w:t xml:space="preserve">v mesecu maju 2019 </w:t>
      </w:r>
      <w:r w:rsidRPr="00540EC6">
        <w:rPr>
          <w:rFonts w:asciiTheme="minorHAnsi" w:hAnsiTheme="minorHAnsi" w:cstheme="minorHAnsi"/>
        </w:rPr>
        <w:t xml:space="preserve">na podlagi podatkov o realizaciji proračunov, ki jih mesečno pošiljajo občine, pripravilo analizo učinkov povišanja plač za prve štiri mesece leta 2019, v primerjavi z letom 2018. Tekoči odhodki za zaposlene v občinskih upravah so višji za 2.450.006 EUR (Tabela 1). </w:t>
      </w:r>
    </w:p>
    <w:p w:rsidR="00F32CD8" w:rsidRPr="00540EC6" w:rsidRDefault="00F32CD8" w:rsidP="00540EC6">
      <w:pPr>
        <w:contextualSpacing/>
        <w:mirrorIndents/>
        <w:jc w:val="both"/>
        <w:rPr>
          <w:rFonts w:asciiTheme="minorHAnsi" w:hAnsiTheme="minorHAnsi" w:cstheme="minorHAnsi"/>
        </w:rPr>
      </w:pPr>
    </w:p>
    <w:p w:rsidR="00F32CD8" w:rsidRPr="00540EC6" w:rsidRDefault="00F32CD8" w:rsidP="00540EC6">
      <w:pPr>
        <w:ind w:firstLine="360"/>
        <w:contextualSpacing/>
        <w:mirrorIndents/>
        <w:jc w:val="both"/>
        <w:rPr>
          <w:rFonts w:asciiTheme="minorHAnsi" w:hAnsiTheme="minorHAnsi" w:cstheme="minorHAnsi"/>
        </w:rPr>
      </w:pPr>
      <w:r w:rsidRPr="00540EC6">
        <w:rPr>
          <w:rFonts w:asciiTheme="minorHAnsi" w:hAnsiTheme="minorHAnsi" w:cstheme="minorHAnsi"/>
        </w:rPr>
        <w:t xml:space="preserve">Tabela 1: Tekoči odhodki – stroški plač v letu 2019 (I-IV) v primerjavi z letom 2018 (I-IV) </w:t>
      </w:r>
    </w:p>
    <w:p w:rsidR="00F32CD8" w:rsidRPr="00540EC6" w:rsidRDefault="00F32CD8" w:rsidP="00540EC6">
      <w:pPr>
        <w:ind w:firstLine="360"/>
        <w:contextualSpacing/>
        <w:mirrorIndents/>
        <w:jc w:val="both"/>
        <w:rPr>
          <w:rFonts w:asciiTheme="minorHAnsi" w:hAnsiTheme="minorHAnsi" w:cstheme="minorHAnsi"/>
        </w:rPr>
      </w:pPr>
    </w:p>
    <w:p w:rsidR="00F32CD8" w:rsidRPr="00540EC6" w:rsidRDefault="00F32CD8" w:rsidP="00540EC6">
      <w:pPr>
        <w:contextualSpacing/>
        <w:mirrorIndents/>
        <w:jc w:val="both"/>
        <w:rPr>
          <w:rFonts w:asciiTheme="minorHAnsi" w:hAnsiTheme="minorHAnsi" w:cstheme="minorHAnsi"/>
          <w:i/>
        </w:rPr>
      </w:pPr>
      <w:r w:rsidRPr="00540EC6">
        <w:rPr>
          <w:rFonts w:asciiTheme="minorHAnsi" w:hAnsiTheme="minorHAnsi" w:cstheme="minorHAnsi"/>
          <w:i/>
          <w:noProof/>
        </w:rPr>
        <w:drawing>
          <wp:inline distT="0" distB="0" distL="0" distR="0" wp14:anchorId="682E0074" wp14:editId="47D448F2">
            <wp:extent cx="6136433" cy="21805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1117" cy="2203575"/>
                    </a:xfrm>
                    <a:prstGeom prst="rect">
                      <a:avLst/>
                    </a:prstGeom>
                    <a:noFill/>
                    <a:ln>
                      <a:noFill/>
                    </a:ln>
                  </pic:spPr>
                </pic:pic>
              </a:graphicData>
            </a:graphic>
          </wp:inline>
        </w:drawing>
      </w:r>
    </w:p>
    <w:p w:rsidR="00F32CD8" w:rsidRPr="00540EC6" w:rsidRDefault="00F32CD8" w:rsidP="00540EC6">
      <w:pPr>
        <w:contextualSpacing/>
        <w:mirrorIndents/>
        <w:jc w:val="both"/>
        <w:rPr>
          <w:rFonts w:asciiTheme="minorHAnsi" w:hAnsiTheme="minorHAnsi" w:cstheme="minorHAnsi"/>
        </w:rPr>
      </w:pPr>
    </w:p>
    <w:p w:rsidR="00F32CD8" w:rsidRPr="00540EC6" w:rsidRDefault="00F32CD8" w:rsidP="00540EC6">
      <w:pPr>
        <w:contextualSpacing/>
        <w:mirrorIndents/>
        <w:jc w:val="both"/>
        <w:rPr>
          <w:rFonts w:asciiTheme="minorHAnsi" w:hAnsiTheme="minorHAnsi" w:cstheme="minorHAnsi"/>
        </w:rPr>
      </w:pPr>
    </w:p>
    <w:p w:rsidR="00F32CD8" w:rsidRPr="00540EC6" w:rsidRDefault="00F32CD8" w:rsidP="00540EC6">
      <w:pPr>
        <w:contextualSpacing/>
        <w:mirrorIndents/>
        <w:jc w:val="both"/>
        <w:rPr>
          <w:rFonts w:asciiTheme="minorHAnsi" w:hAnsiTheme="minorHAnsi" w:cstheme="minorHAnsi"/>
        </w:rPr>
      </w:pPr>
      <w:r w:rsidRPr="00540EC6">
        <w:rPr>
          <w:rFonts w:asciiTheme="minorHAnsi" w:hAnsiTheme="minorHAnsi" w:cstheme="minorHAnsi"/>
        </w:rPr>
        <w:t>Tekoči transferi za plače zaposlenih v javnih zavodih, javnih skladih in javnih agencijah, katerih ustanoviteljice so občine so v prvih štirih mesecih leta 2019 v primerjavi z letom 2018 višji za 3.604.659 EUR. V tabeli 2 so prikazani podatki za tekoče transfere občin v letu 2019 (I-IV) v primerjavi z letom 2018, pri čemer je v primerih, ko se dejavnosti financirajo tudi s strani uporabnikov ocenjeno, da predstavljajo stroški plač 70 % tekočih transferov občin.</w:t>
      </w:r>
    </w:p>
    <w:p w:rsidR="001F5CB4" w:rsidRDefault="001F5CB4" w:rsidP="00540EC6">
      <w:pPr>
        <w:contextualSpacing/>
        <w:mirrorIndents/>
        <w:jc w:val="both"/>
        <w:rPr>
          <w:rFonts w:asciiTheme="minorHAnsi" w:hAnsiTheme="minorHAnsi" w:cstheme="minorHAnsi"/>
        </w:rPr>
      </w:pPr>
    </w:p>
    <w:p w:rsidR="001F5CB4" w:rsidRDefault="001F5CB4" w:rsidP="00540EC6">
      <w:pPr>
        <w:contextualSpacing/>
        <w:mirrorIndents/>
        <w:jc w:val="both"/>
        <w:rPr>
          <w:rFonts w:asciiTheme="minorHAnsi" w:hAnsiTheme="minorHAnsi" w:cstheme="minorHAnsi"/>
        </w:rPr>
      </w:pPr>
    </w:p>
    <w:p w:rsidR="001F5CB4" w:rsidRDefault="001F5CB4" w:rsidP="00540EC6">
      <w:pPr>
        <w:contextualSpacing/>
        <w:mirrorIndents/>
        <w:jc w:val="both"/>
        <w:rPr>
          <w:rFonts w:asciiTheme="minorHAnsi" w:hAnsiTheme="minorHAnsi" w:cstheme="minorHAnsi"/>
        </w:rPr>
      </w:pPr>
    </w:p>
    <w:p w:rsidR="001F5CB4" w:rsidRDefault="001F5CB4" w:rsidP="00540EC6">
      <w:pPr>
        <w:contextualSpacing/>
        <w:mirrorIndents/>
        <w:jc w:val="both"/>
        <w:rPr>
          <w:rFonts w:asciiTheme="minorHAnsi" w:hAnsiTheme="minorHAnsi" w:cstheme="minorHAnsi"/>
        </w:rPr>
      </w:pPr>
    </w:p>
    <w:p w:rsidR="001F5CB4" w:rsidRDefault="001F5CB4" w:rsidP="00540EC6">
      <w:pPr>
        <w:contextualSpacing/>
        <w:mirrorIndents/>
        <w:jc w:val="both"/>
        <w:rPr>
          <w:rFonts w:asciiTheme="minorHAnsi" w:hAnsiTheme="minorHAnsi" w:cstheme="minorHAnsi"/>
        </w:rPr>
      </w:pPr>
    </w:p>
    <w:p w:rsidR="001F5CB4" w:rsidRDefault="001F5CB4" w:rsidP="00540EC6">
      <w:pPr>
        <w:contextualSpacing/>
        <w:mirrorIndents/>
        <w:jc w:val="both"/>
        <w:rPr>
          <w:rFonts w:asciiTheme="minorHAnsi" w:hAnsiTheme="minorHAnsi" w:cstheme="minorHAnsi"/>
        </w:rPr>
      </w:pPr>
    </w:p>
    <w:p w:rsidR="00F32CD8" w:rsidRPr="00540EC6" w:rsidRDefault="00F32CD8" w:rsidP="00540EC6">
      <w:pPr>
        <w:contextualSpacing/>
        <w:mirrorIndents/>
        <w:jc w:val="both"/>
        <w:rPr>
          <w:rFonts w:asciiTheme="minorHAnsi" w:hAnsiTheme="minorHAnsi" w:cstheme="minorHAnsi"/>
        </w:rPr>
      </w:pPr>
      <w:r w:rsidRPr="00540EC6">
        <w:rPr>
          <w:rFonts w:asciiTheme="minorHAnsi" w:hAnsiTheme="minorHAnsi" w:cstheme="minorHAnsi"/>
        </w:rPr>
        <w:lastRenderedPageBreak/>
        <w:t>Tabela 2: Tekoči transferi – ocena stroškov plač v letu 2019 (I-IV) v primerjavi z letom 2018 (I-IV)</w:t>
      </w:r>
    </w:p>
    <w:p w:rsidR="00F32CD8" w:rsidRPr="00540EC6" w:rsidRDefault="00F32CD8" w:rsidP="00540EC6">
      <w:pPr>
        <w:contextualSpacing/>
        <w:mirrorIndents/>
        <w:jc w:val="both"/>
        <w:rPr>
          <w:rFonts w:asciiTheme="minorHAnsi" w:hAnsiTheme="minorHAnsi" w:cstheme="minorHAnsi"/>
        </w:rPr>
      </w:pPr>
    </w:p>
    <w:p w:rsidR="00F32CD8" w:rsidRPr="00540EC6" w:rsidRDefault="00F32CD8" w:rsidP="00540EC6">
      <w:pPr>
        <w:contextualSpacing/>
        <w:mirrorIndents/>
        <w:jc w:val="both"/>
        <w:rPr>
          <w:rFonts w:asciiTheme="minorHAnsi" w:hAnsiTheme="minorHAnsi" w:cstheme="minorHAnsi"/>
        </w:rPr>
      </w:pPr>
      <w:r w:rsidRPr="00540EC6">
        <w:rPr>
          <w:rFonts w:asciiTheme="minorHAnsi" w:hAnsiTheme="minorHAnsi" w:cstheme="minorHAnsi"/>
          <w:noProof/>
        </w:rPr>
        <w:drawing>
          <wp:inline distT="0" distB="0" distL="0" distR="0" wp14:anchorId="35FF3E7C" wp14:editId="1C0CFB55">
            <wp:extent cx="5843083" cy="2076346"/>
            <wp:effectExtent l="0" t="0" r="571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6746" cy="2123843"/>
                    </a:xfrm>
                    <a:prstGeom prst="rect">
                      <a:avLst/>
                    </a:prstGeom>
                    <a:noFill/>
                    <a:ln>
                      <a:noFill/>
                    </a:ln>
                  </pic:spPr>
                </pic:pic>
              </a:graphicData>
            </a:graphic>
          </wp:inline>
        </w:drawing>
      </w:r>
    </w:p>
    <w:p w:rsidR="00F32CD8" w:rsidRPr="00540EC6" w:rsidRDefault="00F32CD8" w:rsidP="00540EC6">
      <w:pPr>
        <w:contextualSpacing/>
        <w:mirrorIndents/>
        <w:jc w:val="both"/>
        <w:rPr>
          <w:rFonts w:asciiTheme="minorHAnsi" w:hAnsiTheme="minorHAnsi" w:cstheme="minorHAnsi"/>
        </w:rPr>
      </w:pPr>
    </w:p>
    <w:p w:rsidR="00F32CD8" w:rsidRPr="00540EC6" w:rsidRDefault="00F32CD8" w:rsidP="00540EC6">
      <w:pPr>
        <w:contextualSpacing/>
        <w:mirrorIndents/>
        <w:jc w:val="both"/>
        <w:rPr>
          <w:rFonts w:asciiTheme="minorHAnsi" w:hAnsiTheme="minorHAnsi" w:cstheme="minorHAnsi"/>
        </w:rPr>
      </w:pPr>
      <w:r w:rsidRPr="00540EC6">
        <w:rPr>
          <w:rFonts w:asciiTheme="minorHAnsi" w:hAnsiTheme="minorHAnsi" w:cstheme="minorHAnsi"/>
        </w:rPr>
        <w:t xml:space="preserve">Na podlagi realizacije v prvih štirih mesecih leta 2019, ki je višja za 6.054.666 EUR v primerjavi z letom 2018 </w:t>
      </w:r>
      <w:r w:rsidR="0029376A" w:rsidRPr="00540EC6">
        <w:rPr>
          <w:rFonts w:asciiTheme="minorHAnsi" w:hAnsiTheme="minorHAnsi" w:cstheme="minorHAnsi"/>
        </w:rPr>
        <w:t xml:space="preserve">je </w:t>
      </w:r>
      <w:r w:rsidRPr="00540EC6">
        <w:rPr>
          <w:rFonts w:asciiTheme="minorHAnsi" w:hAnsiTheme="minorHAnsi" w:cstheme="minorHAnsi"/>
        </w:rPr>
        <w:t>ministrstvo ocen</w:t>
      </w:r>
      <w:r w:rsidR="0029376A" w:rsidRPr="00540EC6">
        <w:rPr>
          <w:rFonts w:asciiTheme="minorHAnsi" w:hAnsiTheme="minorHAnsi" w:cstheme="minorHAnsi"/>
        </w:rPr>
        <w:t>ilo</w:t>
      </w:r>
      <w:r w:rsidRPr="00540EC6">
        <w:rPr>
          <w:rFonts w:asciiTheme="minorHAnsi" w:hAnsiTheme="minorHAnsi" w:cstheme="minorHAnsi"/>
        </w:rPr>
        <w:t xml:space="preserve">, da bodo stroški zaradi povišanja plač, ki jih namenijo občine za svoje zaposlene in zaposlene v javnih zavodih, skladih in agencijah v letu 2019 višji za 18 mio EUR v primerjavi z letom 2018. </w:t>
      </w:r>
    </w:p>
    <w:p w:rsidR="00F32CD8" w:rsidRPr="00540EC6" w:rsidRDefault="00F32CD8" w:rsidP="00540EC6">
      <w:pPr>
        <w:contextualSpacing/>
        <w:mirrorIndents/>
        <w:jc w:val="both"/>
        <w:rPr>
          <w:rFonts w:asciiTheme="minorHAnsi" w:hAnsiTheme="minorHAnsi" w:cstheme="minorHAnsi"/>
        </w:rPr>
      </w:pPr>
    </w:p>
    <w:p w:rsidR="000E6976" w:rsidRPr="00540EC6" w:rsidRDefault="000C590D" w:rsidP="00540EC6">
      <w:pPr>
        <w:pStyle w:val="Odstavekseznama"/>
        <w:numPr>
          <w:ilvl w:val="0"/>
          <w:numId w:val="5"/>
        </w:numPr>
        <w:ind w:left="0"/>
        <w:contextualSpacing/>
        <w:mirrorIndents/>
        <w:jc w:val="both"/>
        <w:rPr>
          <w:rFonts w:asciiTheme="minorHAnsi" w:hAnsiTheme="minorHAnsi" w:cstheme="minorHAnsi"/>
          <w:b/>
        </w:rPr>
      </w:pPr>
      <w:r w:rsidRPr="00540EC6">
        <w:rPr>
          <w:rFonts w:asciiTheme="minorHAnsi" w:hAnsiTheme="minorHAnsi" w:cstheme="minorHAnsi"/>
          <w:b/>
        </w:rPr>
        <w:t>Rezultati a</w:t>
      </w:r>
      <w:r w:rsidR="000E6976" w:rsidRPr="00540EC6">
        <w:rPr>
          <w:rFonts w:asciiTheme="minorHAnsi" w:hAnsiTheme="minorHAnsi" w:cstheme="minorHAnsi"/>
          <w:b/>
        </w:rPr>
        <w:t>naliz</w:t>
      </w:r>
      <w:r w:rsidRPr="00540EC6">
        <w:rPr>
          <w:rFonts w:asciiTheme="minorHAnsi" w:hAnsiTheme="minorHAnsi" w:cstheme="minorHAnsi"/>
          <w:b/>
        </w:rPr>
        <w:t>e</w:t>
      </w:r>
      <w:r w:rsidR="000E6976" w:rsidRPr="00540EC6">
        <w:rPr>
          <w:rFonts w:asciiTheme="minorHAnsi" w:hAnsiTheme="minorHAnsi" w:cstheme="minorHAnsi"/>
          <w:b/>
        </w:rPr>
        <w:t xml:space="preserve"> ocene finančnega učinka na proračune občin </w:t>
      </w:r>
    </w:p>
    <w:p w:rsidR="000E6976" w:rsidRPr="00540EC6" w:rsidRDefault="000E6976" w:rsidP="00540EC6">
      <w:pPr>
        <w:contextualSpacing/>
        <w:mirrorIndents/>
        <w:jc w:val="both"/>
        <w:rPr>
          <w:rFonts w:asciiTheme="minorHAnsi" w:hAnsiTheme="minorHAnsi" w:cstheme="minorHAnsi"/>
        </w:rPr>
      </w:pPr>
    </w:p>
    <w:p w:rsidR="000E6976" w:rsidRDefault="000E6976" w:rsidP="00540EC6">
      <w:pPr>
        <w:keepNext/>
        <w:keepLines/>
        <w:contextualSpacing/>
        <w:mirrorIndents/>
        <w:jc w:val="both"/>
        <w:outlineLvl w:val="4"/>
        <w:rPr>
          <w:rFonts w:asciiTheme="minorHAnsi" w:eastAsiaTheme="majorEastAsia" w:hAnsiTheme="minorHAnsi" w:cstheme="minorHAnsi"/>
        </w:rPr>
      </w:pPr>
      <w:r w:rsidRPr="00540EC6">
        <w:rPr>
          <w:rFonts w:asciiTheme="minorHAnsi" w:hAnsiTheme="minorHAnsi" w:cstheme="minorHAnsi"/>
        </w:rPr>
        <w:t>Ministrstvo za javno upravo je v juniju opravilo podrobnejšo analizo ocene finančnega učinka na proračune občin kot posledico spremenjenih izhodiščnih plačnih razredov delovnih mest in nazivov, ki so bili dogovorjeni z aneksi h kolektivnim pogodbam v decembru 2018</w:t>
      </w:r>
      <w:r w:rsidR="0029376A" w:rsidRPr="00540EC6">
        <w:rPr>
          <w:rFonts w:asciiTheme="minorHAnsi" w:hAnsiTheme="minorHAnsi" w:cstheme="minorHAnsi"/>
        </w:rPr>
        <w:t xml:space="preserve">. Analizo je pripravil </w:t>
      </w:r>
      <w:r w:rsidRPr="00540EC6">
        <w:rPr>
          <w:rFonts w:asciiTheme="minorHAnsi" w:hAnsiTheme="minorHAnsi" w:cstheme="minorHAnsi"/>
        </w:rPr>
        <w:t>Direktorat za javni sektor</w:t>
      </w:r>
      <w:r w:rsidR="0029376A" w:rsidRPr="00540EC6">
        <w:rPr>
          <w:rFonts w:asciiTheme="minorHAnsi" w:hAnsiTheme="minorHAnsi" w:cstheme="minorHAnsi"/>
        </w:rPr>
        <w:t xml:space="preserve"> oziroma </w:t>
      </w:r>
      <w:r w:rsidRPr="00540EC6">
        <w:rPr>
          <w:rFonts w:asciiTheme="minorHAnsi" w:hAnsiTheme="minorHAnsi" w:cstheme="minorHAnsi"/>
        </w:rPr>
        <w:t xml:space="preserve">Sektor za plače v javnem sektorju. Analiza je v prilogi. Vir za pripravo analize so je bil </w:t>
      </w:r>
      <w:r w:rsidRPr="00540EC6">
        <w:rPr>
          <w:rFonts w:asciiTheme="minorHAnsi" w:eastAsia="Times New Roman" w:hAnsiTheme="minorHAnsi" w:cstheme="minorHAnsi"/>
          <w:bCs/>
          <w:lang w:eastAsia="sl-SI"/>
        </w:rPr>
        <w:t xml:space="preserve">Informacijski sistem za posredovanje in analizo podatkov o plačah, drugih izplačilih in številu zaposlenih v javnem sektorju </w:t>
      </w:r>
      <w:r w:rsidRPr="00540EC6">
        <w:rPr>
          <w:rFonts w:asciiTheme="minorHAnsi" w:eastAsiaTheme="majorEastAsia" w:hAnsiTheme="minorHAnsi" w:cstheme="minorHAnsi"/>
        </w:rPr>
        <w:t>ISPAP</w:t>
      </w:r>
      <w:r w:rsidR="008B0405" w:rsidRPr="00540EC6">
        <w:rPr>
          <w:rFonts w:asciiTheme="minorHAnsi" w:eastAsiaTheme="majorEastAsia" w:hAnsiTheme="minorHAnsi" w:cstheme="minorHAnsi"/>
        </w:rPr>
        <w:t>.</w:t>
      </w:r>
    </w:p>
    <w:p w:rsidR="007B0EBD" w:rsidRPr="00540EC6" w:rsidRDefault="007B0EBD" w:rsidP="00540EC6">
      <w:pPr>
        <w:keepNext/>
        <w:keepLines/>
        <w:contextualSpacing/>
        <w:mirrorIndents/>
        <w:jc w:val="both"/>
        <w:outlineLvl w:val="4"/>
        <w:rPr>
          <w:rFonts w:asciiTheme="minorHAnsi" w:eastAsiaTheme="majorEastAsia" w:hAnsiTheme="minorHAnsi" w:cstheme="minorHAnsi"/>
        </w:rPr>
      </w:pPr>
    </w:p>
    <w:p w:rsidR="000E6976" w:rsidRDefault="006169C7" w:rsidP="00540EC6">
      <w:pPr>
        <w:contextualSpacing/>
        <w:mirrorIndents/>
        <w:jc w:val="both"/>
        <w:rPr>
          <w:rFonts w:asciiTheme="minorHAnsi" w:hAnsiTheme="minorHAnsi" w:cstheme="minorHAnsi"/>
        </w:rPr>
      </w:pPr>
      <w:r w:rsidRPr="00540EC6">
        <w:rPr>
          <w:rFonts w:asciiTheme="minorHAnsi" w:hAnsiTheme="minorHAnsi" w:cstheme="minorHAnsi"/>
        </w:rPr>
        <w:t>Agencija Republike Slovenije za javnopravne evidence in storitve (</w:t>
      </w:r>
      <w:r w:rsidR="008B0405" w:rsidRPr="008B0405">
        <w:rPr>
          <w:rFonts w:asciiTheme="minorHAnsi" w:eastAsia="Times New Roman" w:hAnsiTheme="minorHAnsi" w:cstheme="minorHAnsi"/>
          <w:lang w:eastAsia="sl-SI"/>
        </w:rPr>
        <w:t>AJPES</w:t>
      </w:r>
      <w:r w:rsidRPr="00540EC6">
        <w:rPr>
          <w:rFonts w:asciiTheme="minorHAnsi" w:eastAsia="Times New Roman" w:hAnsiTheme="minorHAnsi" w:cstheme="minorHAnsi"/>
          <w:lang w:eastAsia="sl-SI"/>
        </w:rPr>
        <w:t>)</w:t>
      </w:r>
      <w:r w:rsidR="008B0405" w:rsidRPr="008B0405">
        <w:rPr>
          <w:rFonts w:asciiTheme="minorHAnsi" w:eastAsia="Times New Roman" w:hAnsiTheme="minorHAnsi" w:cstheme="minorHAnsi"/>
          <w:lang w:eastAsia="sl-SI"/>
        </w:rPr>
        <w:t xml:space="preserve"> zbira podatke o plačah v javnem sektorju prek informacijskega sistema za posredovanje in analizo podatkov o plačah, drugih izplačilih in številu zaposlenih v javnem sektorju</w:t>
      </w:r>
      <w:r w:rsidRPr="00540EC6">
        <w:rPr>
          <w:rFonts w:asciiTheme="minorHAnsi" w:eastAsia="Times New Roman" w:hAnsiTheme="minorHAnsi" w:cstheme="minorHAnsi"/>
          <w:lang w:eastAsia="sl-SI"/>
        </w:rPr>
        <w:t xml:space="preserve"> (</w:t>
      </w:r>
      <w:r w:rsidR="008B0405" w:rsidRPr="008B0405">
        <w:rPr>
          <w:rFonts w:asciiTheme="minorHAnsi" w:eastAsia="Times New Roman" w:hAnsiTheme="minorHAnsi" w:cstheme="minorHAnsi"/>
          <w:lang w:eastAsia="sl-SI"/>
        </w:rPr>
        <w:t>ISPAP</w:t>
      </w:r>
      <w:r w:rsidRPr="00540EC6">
        <w:rPr>
          <w:rFonts w:asciiTheme="minorHAnsi" w:eastAsia="Times New Roman" w:hAnsiTheme="minorHAnsi" w:cstheme="minorHAnsi"/>
          <w:lang w:eastAsia="sl-SI"/>
        </w:rPr>
        <w:t>)</w:t>
      </w:r>
      <w:r w:rsidR="008B0405" w:rsidRPr="008B0405">
        <w:rPr>
          <w:rFonts w:asciiTheme="minorHAnsi" w:eastAsia="Times New Roman" w:hAnsiTheme="minorHAnsi" w:cstheme="minorHAnsi"/>
          <w:lang w:eastAsia="sl-SI"/>
        </w:rPr>
        <w:t>. Zbrane podatke posreduje ministrstvu, pristojnemu za sistem plač v javnem sektorju in Statističnemu uradu Republike Slovenije.</w:t>
      </w:r>
      <w:r w:rsidR="008B0405" w:rsidRPr="00540EC6">
        <w:rPr>
          <w:rFonts w:asciiTheme="minorHAnsi" w:eastAsia="Times New Roman" w:hAnsiTheme="minorHAnsi" w:cstheme="minorHAnsi"/>
          <w:lang w:eastAsia="sl-SI"/>
        </w:rPr>
        <w:t xml:space="preserve"> </w:t>
      </w:r>
      <w:r w:rsidR="008B0405" w:rsidRPr="008B0405">
        <w:rPr>
          <w:rFonts w:asciiTheme="minorHAnsi" w:eastAsia="Times New Roman" w:hAnsiTheme="minorHAnsi" w:cstheme="minorHAnsi"/>
          <w:lang w:eastAsia="sl-SI"/>
        </w:rPr>
        <w:t xml:space="preserve">Vsebina podatkov, ki se skladno s </w:t>
      </w:r>
      <w:hyperlink r:id="rId7" w:history="1">
        <w:r w:rsidR="008B0405" w:rsidRPr="008B0405">
          <w:rPr>
            <w:rFonts w:asciiTheme="minorHAnsi" w:eastAsia="Times New Roman" w:hAnsiTheme="minorHAnsi" w:cstheme="minorHAnsi"/>
            <w:lang w:eastAsia="sl-SI"/>
          </w:rPr>
          <w:t>Pravilnikom</w:t>
        </w:r>
      </w:hyperlink>
      <w:r w:rsidR="008B0405" w:rsidRPr="008B0405">
        <w:rPr>
          <w:rFonts w:asciiTheme="minorHAnsi" w:eastAsia="Times New Roman" w:hAnsiTheme="minorHAnsi" w:cstheme="minorHAnsi"/>
          <w:lang w:eastAsia="sl-SI"/>
        </w:rPr>
        <w:t xml:space="preserve"> </w:t>
      </w:r>
      <w:r w:rsidR="008B0405" w:rsidRPr="00540EC6">
        <w:rPr>
          <w:rFonts w:asciiTheme="minorHAnsi" w:hAnsiTheme="minorHAnsi" w:cstheme="minorHAnsi"/>
        </w:rPr>
        <w:t xml:space="preserve">o metodologiji za posredovanje in analizo podatkov o plačah, drugih izplačilih in številu zaposlenih v javnem sektorju </w:t>
      </w:r>
      <w:r w:rsidR="008B0405" w:rsidRPr="008B0405">
        <w:rPr>
          <w:rFonts w:asciiTheme="minorHAnsi" w:eastAsia="Times New Roman" w:hAnsiTheme="minorHAnsi" w:cstheme="minorHAnsi"/>
          <w:lang w:eastAsia="sl-SI"/>
        </w:rPr>
        <w:t xml:space="preserve">posredujejo v ISPAP, je opredeljena z </w:t>
      </w:r>
      <w:hyperlink r:id="rId8" w:history="1">
        <w:r w:rsidR="008B0405" w:rsidRPr="008B0405">
          <w:rPr>
            <w:rFonts w:asciiTheme="minorHAnsi" w:eastAsia="Times New Roman" w:hAnsiTheme="minorHAnsi" w:cstheme="minorHAnsi"/>
            <w:lang w:eastAsia="sl-SI"/>
          </w:rPr>
          <w:t>Uredbo o enotni metodologiji in obrazcih za obračun in izplačilo plač v javnem sektorju</w:t>
        </w:r>
      </w:hyperlink>
      <w:r w:rsidR="008B0405" w:rsidRPr="008B0405">
        <w:rPr>
          <w:rFonts w:asciiTheme="minorHAnsi" w:eastAsia="Times New Roman" w:hAnsiTheme="minorHAnsi" w:cstheme="minorHAnsi"/>
          <w:lang w:eastAsia="sl-SI"/>
        </w:rPr>
        <w:t>.</w:t>
      </w:r>
      <w:r w:rsidR="008B0405" w:rsidRPr="00540EC6">
        <w:rPr>
          <w:rFonts w:asciiTheme="minorHAnsi" w:eastAsia="Times New Roman" w:hAnsiTheme="minorHAnsi" w:cstheme="minorHAnsi"/>
          <w:lang w:eastAsia="sl-SI"/>
        </w:rPr>
        <w:t xml:space="preserve"> </w:t>
      </w:r>
      <w:r w:rsidR="008B0405" w:rsidRPr="00540EC6">
        <w:rPr>
          <w:rFonts w:asciiTheme="minorHAnsi" w:hAnsiTheme="minorHAnsi" w:cstheme="minorHAnsi"/>
        </w:rPr>
        <w:t xml:space="preserve">Podatke posredujejo subjekti javnega sektorja oziroma proračunski uporabniki, kot jih določa </w:t>
      </w:r>
      <w:hyperlink r:id="rId9" w:history="1">
        <w:r w:rsidR="008B0405" w:rsidRPr="00540EC6">
          <w:rPr>
            <w:rStyle w:val="Hiperpovezava"/>
            <w:rFonts w:asciiTheme="minorHAnsi" w:hAnsiTheme="minorHAnsi" w:cstheme="minorHAnsi"/>
            <w:color w:val="auto"/>
            <w:u w:val="none"/>
          </w:rPr>
          <w:t>Sklep o subjektih, za katere velja Zakon o sistemu plač v javnem sektorju</w:t>
        </w:r>
      </w:hyperlink>
      <w:r w:rsidR="008B0405" w:rsidRPr="00540EC6">
        <w:rPr>
          <w:rFonts w:asciiTheme="minorHAnsi" w:hAnsiTheme="minorHAnsi" w:cstheme="minorHAnsi"/>
        </w:rPr>
        <w:t>.</w:t>
      </w:r>
      <w:r w:rsidRPr="00540EC6">
        <w:rPr>
          <w:rFonts w:asciiTheme="minorHAnsi" w:hAnsiTheme="minorHAnsi" w:cstheme="minorHAnsi"/>
        </w:rPr>
        <w:t xml:space="preserve"> </w:t>
      </w:r>
    </w:p>
    <w:p w:rsidR="007B0EBD" w:rsidRPr="00540EC6" w:rsidRDefault="007B0EBD" w:rsidP="00540EC6">
      <w:pPr>
        <w:contextualSpacing/>
        <w:mirrorIndents/>
        <w:jc w:val="both"/>
        <w:rPr>
          <w:rFonts w:asciiTheme="minorHAnsi" w:hAnsiTheme="minorHAnsi" w:cstheme="minorHAnsi"/>
        </w:rPr>
      </w:pPr>
    </w:p>
    <w:p w:rsidR="006169C7" w:rsidRDefault="006169C7" w:rsidP="00540EC6">
      <w:pPr>
        <w:contextualSpacing/>
        <w:mirrorIndents/>
        <w:jc w:val="both"/>
        <w:rPr>
          <w:rFonts w:asciiTheme="minorHAnsi" w:hAnsiTheme="minorHAnsi" w:cstheme="minorHAnsi"/>
        </w:rPr>
      </w:pPr>
      <w:r w:rsidRPr="00540EC6">
        <w:rPr>
          <w:rFonts w:asciiTheme="minorHAnsi" w:hAnsiTheme="minorHAnsi" w:cstheme="minorHAnsi"/>
        </w:rPr>
        <w:t xml:space="preserve">Namen analize je bil na eni strani potrditi ocene </w:t>
      </w:r>
      <w:r w:rsidR="000C590D" w:rsidRPr="00540EC6">
        <w:rPr>
          <w:rFonts w:asciiTheme="minorHAnsi" w:hAnsiTheme="minorHAnsi" w:cstheme="minorHAnsi"/>
        </w:rPr>
        <w:t xml:space="preserve">Ministrstva za finance </w:t>
      </w:r>
      <w:r w:rsidRPr="00540EC6">
        <w:rPr>
          <w:rFonts w:asciiTheme="minorHAnsi" w:hAnsiTheme="minorHAnsi" w:cstheme="minorHAnsi"/>
        </w:rPr>
        <w:t>o višini sredstev, ki jih bodo občine v letu 2019 zaradi dogovora s sindikati javnega sektorja namenile za plače</w:t>
      </w:r>
      <w:r w:rsidR="004D3697" w:rsidRPr="00540EC6">
        <w:rPr>
          <w:rFonts w:asciiTheme="minorHAnsi" w:hAnsiTheme="minorHAnsi" w:cstheme="minorHAnsi"/>
        </w:rPr>
        <w:t>, na drugi strani pa preveriti učinke dviga plač na občinske proračune glede na vrsto občin.</w:t>
      </w:r>
      <w:r w:rsidRPr="00540EC6">
        <w:rPr>
          <w:rFonts w:asciiTheme="minorHAnsi" w:hAnsiTheme="minorHAnsi" w:cstheme="minorHAnsi"/>
        </w:rPr>
        <w:t xml:space="preserve"> </w:t>
      </w:r>
      <w:r w:rsidR="003F0CD5" w:rsidRPr="00540EC6">
        <w:rPr>
          <w:rFonts w:asciiTheme="minorHAnsi" w:hAnsiTheme="minorHAnsi" w:cstheme="minorHAnsi"/>
        </w:rPr>
        <w:t xml:space="preserve">Iz analize je razvidno, da sta si oceni učinkov Ministrstva za finance na podlagi štirimesečnega dejanskega izplačila plač in ocena Ministrstva za javno upravo po podatkih iz ISPAP zelo podobni. Razliko v absolutnem znesku med izračunoma je treba pripisati drugačnima metodološkima pristopoma in razlikam v poročanju občin o na eni strani dejanski realizaciji proračunov, ki jo spremlja Ministrstvo za finance in na drugi o številu zaposlenih v ISPAP. </w:t>
      </w:r>
      <w:r w:rsidR="00540EC6" w:rsidRPr="00540EC6">
        <w:rPr>
          <w:rFonts w:asciiTheme="minorHAnsi" w:hAnsiTheme="minorHAnsi" w:cstheme="minorHAnsi"/>
        </w:rPr>
        <w:t xml:space="preserve">Hkrati izračun Ministrstva za finance ne upošteva </w:t>
      </w:r>
      <w:r w:rsidR="00540EC6" w:rsidRPr="000C590D">
        <w:rPr>
          <w:rFonts w:asciiTheme="minorHAnsi" w:hAnsiTheme="minorHAnsi" w:cstheme="minorHAnsi"/>
        </w:rPr>
        <w:t>drugi plačni razred povišanja 1.</w:t>
      </w:r>
      <w:r w:rsidR="00100BE0">
        <w:rPr>
          <w:rFonts w:asciiTheme="minorHAnsi" w:hAnsiTheme="minorHAnsi" w:cstheme="minorHAnsi"/>
        </w:rPr>
        <w:t xml:space="preserve"> </w:t>
      </w:r>
      <w:r w:rsidR="00540EC6" w:rsidRPr="000C590D">
        <w:rPr>
          <w:rFonts w:asciiTheme="minorHAnsi" w:hAnsiTheme="minorHAnsi" w:cstheme="minorHAnsi"/>
        </w:rPr>
        <w:t>11.</w:t>
      </w:r>
      <w:r w:rsidR="00100BE0">
        <w:rPr>
          <w:rFonts w:asciiTheme="minorHAnsi" w:hAnsiTheme="minorHAnsi" w:cstheme="minorHAnsi"/>
        </w:rPr>
        <w:t xml:space="preserve"> </w:t>
      </w:r>
      <w:r w:rsidR="00540EC6" w:rsidRPr="000C590D">
        <w:rPr>
          <w:rFonts w:asciiTheme="minorHAnsi" w:hAnsiTheme="minorHAnsi" w:cstheme="minorHAnsi"/>
        </w:rPr>
        <w:t>2019 s plačo za november 2019, ki bo izplačana v decembru 2019</w:t>
      </w:r>
      <w:r w:rsidR="00540EC6" w:rsidRPr="00540EC6">
        <w:rPr>
          <w:rFonts w:asciiTheme="minorHAnsi" w:hAnsiTheme="minorHAnsi" w:cstheme="minorHAnsi"/>
        </w:rPr>
        <w:t xml:space="preserve">. Kljub navedeni razliki lahko ugotovimo, da je ocena učinkov povišanja odhodkov občinskih proračunov zaradi povečanja plač verodostojna. </w:t>
      </w:r>
    </w:p>
    <w:p w:rsidR="007E1184" w:rsidRDefault="007E1184" w:rsidP="00540EC6">
      <w:pPr>
        <w:contextualSpacing/>
        <w:mirrorIndents/>
        <w:jc w:val="both"/>
        <w:rPr>
          <w:rFonts w:asciiTheme="minorHAnsi" w:hAnsiTheme="minorHAnsi" w:cstheme="minorHAnsi"/>
        </w:rPr>
      </w:pPr>
    </w:p>
    <w:p w:rsidR="000E6976" w:rsidRPr="00540EC6" w:rsidRDefault="000E6976" w:rsidP="00540EC6">
      <w:pPr>
        <w:pStyle w:val="Odstavekseznama"/>
        <w:numPr>
          <w:ilvl w:val="0"/>
          <w:numId w:val="5"/>
        </w:numPr>
        <w:ind w:left="0"/>
        <w:contextualSpacing/>
        <w:mirrorIndents/>
        <w:jc w:val="both"/>
        <w:rPr>
          <w:rFonts w:asciiTheme="minorHAnsi" w:hAnsiTheme="minorHAnsi" w:cstheme="minorHAnsi"/>
          <w:b/>
        </w:rPr>
      </w:pPr>
      <w:r w:rsidRPr="00540EC6">
        <w:rPr>
          <w:rFonts w:asciiTheme="minorHAnsi" w:hAnsiTheme="minorHAnsi" w:cstheme="minorHAnsi"/>
          <w:b/>
        </w:rPr>
        <w:t>Metodološka izhodišča</w:t>
      </w:r>
      <w:r w:rsidR="003F0CD5" w:rsidRPr="00540EC6">
        <w:rPr>
          <w:rFonts w:asciiTheme="minorHAnsi" w:hAnsiTheme="minorHAnsi" w:cstheme="minorHAnsi"/>
          <w:b/>
        </w:rPr>
        <w:t xml:space="preserve"> in omejitve </w:t>
      </w:r>
    </w:p>
    <w:p w:rsidR="003F0CD5" w:rsidRPr="00540EC6" w:rsidRDefault="003F0CD5" w:rsidP="00540EC6">
      <w:pPr>
        <w:contextualSpacing/>
        <w:mirrorIndents/>
        <w:jc w:val="both"/>
        <w:rPr>
          <w:rFonts w:asciiTheme="minorHAnsi" w:hAnsiTheme="minorHAnsi" w:cstheme="minorHAnsi"/>
        </w:rPr>
      </w:pPr>
    </w:p>
    <w:p w:rsidR="000E6976" w:rsidRPr="00540EC6" w:rsidRDefault="003F0CD5" w:rsidP="00540EC6">
      <w:pPr>
        <w:contextualSpacing/>
        <w:mirrorIndents/>
        <w:jc w:val="both"/>
        <w:rPr>
          <w:rFonts w:asciiTheme="minorHAnsi" w:hAnsiTheme="minorHAnsi" w:cstheme="minorHAnsi"/>
        </w:rPr>
      </w:pPr>
      <w:r w:rsidRPr="00540EC6">
        <w:rPr>
          <w:rFonts w:asciiTheme="minorHAnsi" w:hAnsiTheme="minorHAnsi" w:cstheme="minorHAnsi"/>
        </w:rPr>
        <w:t xml:space="preserve">Ministrstvo za javno upravo je pripravilo tabelarični pregled po posamičnih občinah, posebej za občinske uprave in za javne zavode </w:t>
      </w:r>
      <w:r w:rsidR="000E6976" w:rsidRPr="00540EC6">
        <w:rPr>
          <w:rFonts w:asciiTheme="minorHAnsi" w:hAnsiTheme="minorHAnsi" w:cstheme="minorHAnsi"/>
        </w:rPr>
        <w:t xml:space="preserve">in </w:t>
      </w:r>
      <w:r w:rsidRPr="00540EC6">
        <w:rPr>
          <w:rFonts w:asciiTheme="minorHAnsi" w:hAnsiTheme="minorHAnsi" w:cstheme="minorHAnsi"/>
        </w:rPr>
        <w:t xml:space="preserve">po velikosti občin glede na </w:t>
      </w:r>
      <w:r w:rsidR="000E6976" w:rsidRPr="00540EC6">
        <w:rPr>
          <w:rFonts w:asciiTheme="minorHAnsi" w:hAnsiTheme="minorHAnsi" w:cstheme="minorHAnsi"/>
        </w:rPr>
        <w:t>štev</w:t>
      </w:r>
      <w:r w:rsidRPr="00540EC6">
        <w:rPr>
          <w:rFonts w:asciiTheme="minorHAnsi" w:hAnsiTheme="minorHAnsi" w:cstheme="minorHAnsi"/>
        </w:rPr>
        <w:t>ilo prebivalcev</w:t>
      </w:r>
      <w:r w:rsidR="000E6976" w:rsidRPr="00540EC6">
        <w:rPr>
          <w:rFonts w:asciiTheme="minorHAnsi" w:hAnsiTheme="minorHAnsi" w:cstheme="minorHAnsi"/>
        </w:rPr>
        <w:t xml:space="preserve"> na stanje 1. 1. 2019. </w:t>
      </w:r>
      <w:r w:rsidRPr="00540EC6">
        <w:rPr>
          <w:rFonts w:asciiTheme="minorHAnsi" w:hAnsiTheme="minorHAnsi" w:cstheme="minorHAnsi"/>
        </w:rPr>
        <w:t xml:space="preserve">Zato je iz </w:t>
      </w:r>
      <w:r w:rsidRPr="00540EC6">
        <w:rPr>
          <w:rFonts w:asciiTheme="minorHAnsi" w:hAnsiTheme="minorHAnsi" w:cstheme="minorHAnsi"/>
        </w:rPr>
        <w:lastRenderedPageBreak/>
        <w:t xml:space="preserve">analize razviden učinek posebej za mestne občine, za </w:t>
      </w:r>
      <w:proofErr w:type="spellStart"/>
      <w:r w:rsidRPr="00540EC6">
        <w:rPr>
          <w:rFonts w:asciiTheme="minorHAnsi" w:hAnsiTheme="minorHAnsi" w:cstheme="minorHAnsi"/>
        </w:rPr>
        <w:t>t.i</w:t>
      </w:r>
      <w:proofErr w:type="spellEnd"/>
      <w:r w:rsidRPr="00540EC6">
        <w:rPr>
          <w:rFonts w:asciiTheme="minorHAnsi" w:hAnsiTheme="minorHAnsi" w:cstheme="minorHAnsi"/>
        </w:rPr>
        <w:t>. sedežne občine (občine, kjer je tudi sedež upravne enote)</w:t>
      </w:r>
      <w:r w:rsidR="0090305A" w:rsidRPr="00540EC6">
        <w:rPr>
          <w:rFonts w:asciiTheme="minorHAnsi" w:hAnsiTheme="minorHAnsi" w:cstheme="minorHAnsi"/>
        </w:rPr>
        <w:t xml:space="preserve"> in na preostale občine. Hkrati </w:t>
      </w:r>
      <w:r w:rsidR="0029376A" w:rsidRPr="00540EC6">
        <w:rPr>
          <w:rFonts w:asciiTheme="minorHAnsi" w:hAnsiTheme="minorHAnsi" w:cstheme="minorHAnsi"/>
        </w:rPr>
        <w:t>je iz analize razvidno</w:t>
      </w:r>
      <w:r w:rsidR="0090305A" w:rsidRPr="00540EC6">
        <w:rPr>
          <w:rFonts w:asciiTheme="minorHAnsi" w:hAnsiTheme="minorHAnsi" w:cstheme="minorHAnsi"/>
        </w:rPr>
        <w:t xml:space="preserve">, kakšni so učinki dviga plač na občine z </w:t>
      </w:r>
      <w:r w:rsidR="0029376A" w:rsidRPr="00540EC6">
        <w:rPr>
          <w:rFonts w:asciiTheme="minorHAnsi" w:hAnsiTheme="minorHAnsi" w:cstheme="minorHAnsi"/>
        </w:rPr>
        <w:t xml:space="preserve">več in z </w:t>
      </w:r>
      <w:r w:rsidR="0090305A" w:rsidRPr="00540EC6">
        <w:rPr>
          <w:rFonts w:asciiTheme="minorHAnsi" w:hAnsiTheme="minorHAnsi" w:cstheme="minorHAnsi"/>
        </w:rPr>
        <w:t>manj kot 5.000 prebivalci.</w:t>
      </w:r>
      <w:r w:rsidRPr="00540EC6">
        <w:rPr>
          <w:rFonts w:asciiTheme="minorHAnsi" w:hAnsiTheme="minorHAnsi" w:cstheme="minorHAnsi"/>
        </w:rPr>
        <w:t xml:space="preserve"> </w:t>
      </w:r>
    </w:p>
    <w:p w:rsidR="00452C00" w:rsidRDefault="00452C00" w:rsidP="00452C00"/>
    <w:p w:rsidR="00452C00" w:rsidRPr="00452C00" w:rsidRDefault="00452C00" w:rsidP="00452C00">
      <w:pPr>
        <w:jc w:val="both"/>
      </w:pPr>
      <w:r w:rsidRPr="00452C00">
        <w:t>Metoda izračuna zneska osnovne plače zaposlenega, ki se financira iz občinskih proračunov</w:t>
      </w:r>
      <w:r>
        <w:t xml:space="preserve"> temelji na tem, da p</w:t>
      </w:r>
      <w:r w:rsidRPr="00452C00">
        <w:t>roračunski uporabniki posredujejo v sistem ISPAP za vsakega zaposlenega na delovnem mestu podatke o virih financiranja, ki so opredeljeni v Uredbi o enotni metodologiji in obrazcih za obračun in izplačilo plač v javnem sektorju:</w:t>
      </w:r>
    </w:p>
    <w:p w:rsidR="00452C00" w:rsidRPr="00452C00" w:rsidRDefault="00452C00" w:rsidP="00452C00">
      <w:pPr>
        <w:jc w:val="both"/>
      </w:pPr>
    </w:p>
    <w:p w:rsidR="00452C00" w:rsidRPr="00452C00" w:rsidRDefault="00452C00" w:rsidP="00452C00">
      <w:pPr>
        <w:jc w:val="both"/>
      </w:pPr>
      <w:r w:rsidRPr="00452C00">
        <w:t>Oznaka Naziv</w:t>
      </w:r>
    </w:p>
    <w:p w:rsidR="00452C00" w:rsidRPr="00452C00" w:rsidRDefault="00452C00" w:rsidP="00452C00">
      <w:pPr>
        <w:jc w:val="both"/>
      </w:pPr>
      <w:r w:rsidRPr="00452C00">
        <w:t>Z621      državni proračun</w:t>
      </w:r>
    </w:p>
    <w:p w:rsidR="00452C00" w:rsidRPr="00452C00" w:rsidRDefault="00452C00" w:rsidP="00452C00">
      <w:pPr>
        <w:jc w:val="both"/>
      </w:pPr>
      <w:r w:rsidRPr="00452C00">
        <w:t>Z622      proračun občin</w:t>
      </w:r>
    </w:p>
    <w:p w:rsidR="00452C00" w:rsidRPr="00452C00" w:rsidRDefault="00452C00" w:rsidP="00452C00">
      <w:pPr>
        <w:jc w:val="both"/>
      </w:pPr>
      <w:r w:rsidRPr="00452C00">
        <w:t>Z623      Zavod za zdravstveno zavarovanje Slovenije in Zavod za pokojninsko in invalidsko zavarovanje</w:t>
      </w:r>
    </w:p>
    <w:p w:rsidR="00452C00" w:rsidRPr="00452C00" w:rsidRDefault="00452C00" w:rsidP="00452C00">
      <w:pPr>
        <w:jc w:val="both"/>
      </w:pPr>
      <w:r w:rsidRPr="00452C00">
        <w:t>Z624      sredstva EU ali drugih mednarodnih virov, vključno s sredstvi sofinanciranja iz državnega proračuna</w:t>
      </w:r>
    </w:p>
    <w:p w:rsidR="00452C00" w:rsidRPr="00452C00" w:rsidRDefault="00452C00" w:rsidP="00452C00">
      <w:pPr>
        <w:jc w:val="both"/>
      </w:pPr>
      <w:r w:rsidRPr="00452C00">
        <w:t>Z625      druga javna sredstva za opravljanje javne službe</w:t>
      </w:r>
    </w:p>
    <w:p w:rsidR="00452C00" w:rsidRPr="00452C00" w:rsidRDefault="00452C00" w:rsidP="00452C00">
      <w:pPr>
        <w:jc w:val="both"/>
      </w:pPr>
      <w:r w:rsidRPr="00452C00">
        <w:t>Z626      sredstva od prodaje blaga in storitev na trgu</w:t>
      </w:r>
    </w:p>
    <w:p w:rsidR="00452C00" w:rsidRPr="00452C00" w:rsidRDefault="00452C00" w:rsidP="00452C00">
      <w:pPr>
        <w:jc w:val="both"/>
      </w:pPr>
      <w:r w:rsidRPr="00452C00">
        <w:t>Z627      nejavna sredstva za opravljanje javne službe in sredstva prejetih donacij</w:t>
      </w:r>
    </w:p>
    <w:p w:rsidR="00452C00" w:rsidRPr="00452C00" w:rsidRDefault="00452C00" w:rsidP="00452C00">
      <w:pPr>
        <w:jc w:val="both"/>
      </w:pPr>
      <w:r w:rsidRPr="00452C00">
        <w:t>Z628      sredstva za financiranje javnih del</w:t>
      </w:r>
    </w:p>
    <w:p w:rsidR="00452C00" w:rsidRDefault="00452C00" w:rsidP="00452C00">
      <w:pPr>
        <w:jc w:val="both"/>
      </w:pPr>
      <w:r w:rsidRPr="00452C00">
        <w:t xml:space="preserve">Z629      namenska sredstva iz katerih se v celoti zagotavlja financiranje stroškov dela zaposlenih, in sicer </w:t>
      </w:r>
      <w:r>
        <w:t xml:space="preserve"> </w:t>
      </w:r>
    </w:p>
    <w:p w:rsidR="00452C00" w:rsidRDefault="00452C00" w:rsidP="00452C00">
      <w:pPr>
        <w:jc w:val="both"/>
      </w:pPr>
      <w:r>
        <w:t xml:space="preserve">               </w:t>
      </w:r>
      <w:r w:rsidRPr="00452C00">
        <w:t xml:space="preserve">mladih raziskovalcev, zdravnikov pripravnikov in specializantov, zdravstvenih delavcev pripravnikov in </w:t>
      </w:r>
    </w:p>
    <w:p w:rsidR="00452C00" w:rsidRPr="00452C00" w:rsidRDefault="00452C00" w:rsidP="00452C00">
      <w:pPr>
        <w:jc w:val="both"/>
      </w:pPr>
      <w:r>
        <w:t xml:space="preserve">               </w:t>
      </w:r>
      <w:r w:rsidRPr="00452C00">
        <w:t>zdravstvenih sodelavcev pripravnikov ter zaposlenih na raziskovalnih projektih</w:t>
      </w:r>
    </w:p>
    <w:p w:rsidR="00452C00" w:rsidRDefault="00452C00" w:rsidP="00452C00">
      <w:pPr>
        <w:jc w:val="both"/>
      </w:pPr>
      <w:r w:rsidRPr="00452C00">
        <w:t xml:space="preserve">Z631      sredstva za zaposlene na podlagi Zakona o ukrepih za odpravo posledic žleda med 30. januarjem in </w:t>
      </w:r>
    </w:p>
    <w:p w:rsidR="00452C00" w:rsidRPr="00452C00" w:rsidRDefault="00452C00" w:rsidP="00452C00">
      <w:pPr>
        <w:jc w:val="both"/>
      </w:pPr>
      <w:r>
        <w:t xml:space="preserve">               </w:t>
      </w:r>
      <w:r w:rsidRPr="00452C00">
        <w:t xml:space="preserve">10. februarjem 2014 </w:t>
      </w:r>
    </w:p>
    <w:p w:rsidR="00452C00" w:rsidRPr="00452C00" w:rsidRDefault="00452C00" w:rsidP="00452C00">
      <w:pPr>
        <w:jc w:val="both"/>
      </w:pPr>
    </w:p>
    <w:p w:rsidR="007B0EBD" w:rsidRDefault="00452C00" w:rsidP="007B0EBD">
      <w:pPr>
        <w:jc w:val="both"/>
        <w:rPr>
          <w:rFonts w:asciiTheme="minorHAnsi" w:eastAsia="Times New Roman" w:hAnsiTheme="minorHAnsi" w:cstheme="minorHAnsi"/>
        </w:rPr>
      </w:pPr>
      <w:r w:rsidRPr="00452C00">
        <w:t xml:space="preserve">Na podlagi posredovanih podatkov se je izračunal delež financiranja plače s strani proračuna občine za vsakega zaposlenega v javnem zavodu. Z izračunanim deležem se je ugotavljal znesek osnovne plače vsakega zaposlenega na delovnem mestu, za katerega so bili posredovani podatki za mesec december 2019. </w:t>
      </w:r>
      <w:r w:rsidR="0090305A" w:rsidRPr="00540EC6">
        <w:rPr>
          <w:rFonts w:asciiTheme="minorHAnsi" w:hAnsiTheme="minorHAnsi" w:cstheme="minorHAnsi"/>
        </w:rPr>
        <w:t>Iz analize je razviden</w:t>
      </w:r>
      <w:r w:rsidR="000E6976" w:rsidRPr="00540EC6">
        <w:rPr>
          <w:rFonts w:asciiTheme="minorHAnsi" w:hAnsiTheme="minorHAnsi" w:cstheme="minorHAnsi"/>
        </w:rPr>
        <w:t xml:space="preserve"> pregled učinkov dviga plač</w:t>
      </w:r>
      <w:r w:rsidR="0090305A" w:rsidRPr="00540EC6">
        <w:rPr>
          <w:rFonts w:asciiTheme="minorHAnsi" w:hAnsiTheme="minorHAnsi" w:cstheme="minorHAnsi"/>
        </w:rPr>
        <w:t xml:space="preserve">, v to so všteti </w:t>
      </w:r>
      <w:r w:rsidR="000E6976" w:rsidRPr="00540EC6">
        <w:rPr>
          <w:rFonts w:asciiTheme="minorHAnsi" w:hAnsiTheme="minorHAnsi" w:cstheme="minorHAnsi"/>
        </w:rPr>
        <w:t xml:space="preserve"> </w:t>
      </w:r>
      <w:r w:rsidR="000E6976" w:rsidRPr="00540EC6">
        <w:rPr>
          <w:rFonts w:asciiTheme="minorHAnsi" w:eastAsia="Times New Roman" w:hAnsiTheme="minorHAnsi" w:cstheme="minorHAnsi"/>
        </w:rPr>
        <w:t xml:space="preserve">plače in prispevki zaposlenih (konti 400 in 401)  v občinskih upravah </w:t>
      </w:r>
      <w:r w:rsidR="0090305A" w:rsidRPr="00540EC6">
        <w:rPr>
          <w:rFonts w:asciiTheme="minorHAnsi" w:eastAsia="Times New Roman" w:hAnsiTheme="minorHAnsi" w:cstheme="minorHAnsi"/>
        </w:rPr>
        <w:t xml:space="preserve">in </w:t>
      </w:r>
      <w:r w:rsidR="000E6976" w:rsidRPr="00540EC6">
        <w:rPr>
          <w:rFonts w:asciiTheme="minorHAnsi" w:eastAsia="Times New Roman" w:hAnsiTheme="minorHAnsi" w:cstheme="minorHAnsi"/>
        </w:rPr>
        <w:t>plače zaposlenih v javnih zavodih, katerih ustanoviteljice so občine (razen osnovnih šol</w:t>
      </w:r>
      <w:r w:rsidR="0090305A" w:rsidRPr="00540EC6">
        <w:rPr>
          <w:rFonts w:asciiTheme="minorHAnsi" w:eastAsia="Times New Roman" w:hAnsiTheme="minorHAnsi" w:cstheme="minorHAnsi"/>
        </w:rPr>
        <w:t xml:space="preserve">, </w:t>
      </w:r>
      <w:r w:rsidR="000E6976" w:rsidRPr="00540EC6">
        <w:rPr>
          <w:rFonts w:asciiTheme="minorHAnsi" w:eastAsia="Times New Roman" w:hAnsiTheme="minorHAnsi" w:cstheme="minorHAnsi"/>
        </w:rPr>
        <w:t>zdravstvenih domov</w:t>
      </w:r>
      <w:r w:rsidR="0090305A" w:rsidRPr="00540EC6">
        <w:rPr>
          <w:rFonts w:asciiTheme="minorHAnsi" w:eastAsia="Times New Roman" w:hAnsiTheme="minorHAnsi" w:cstheme="minorHAnsi"/>
        </w:rPr>
        <w:t xml:space="preserve"> in lekarn</w:t>
      </w:r>
      <w:r w:rsidR="000E6976" w:rsidRPr="00540EC6">
        <w:rPr>
          <w:rFonts w:asciiTheme="minorHAnsi" w:eastAsia="Times New Roman" w:hAnsiTheme="minorHAnsi" w:cstheme="minorHAnsi"/>
        </w:rPr>
        <w:t>)</w:t>
      </w:r>
      <w:r w:rsidR="0090305A" w:rsidRPr="00540EC6">
        <w:rPr>
          <w:rFonts w:asciiTheme="minorHAnsi" w:eastAsia="Times New Roman" w:hAnsiTheme="minorHAnsi" w:cstheme="minorHAnsi"/>
        </w:rPr>
        <w:t xml:space="preserve">. </w:t>
      </w:r>
    </w:p>
    <w:p w:rsidR="007B0EBD" w:rsidRDefault="007B0EBD" w:rsidP="007B0EBD">
      <w:pPr>
        <w:jc w:val="both"/>
        <w:rPr>
          <w:rFonts w:asciiTheme="minorHAnsi" w:eastAsia="Times New Roman" w:hAnsiTheme="minorHAnsi" w:cstheme="minorHAnsi"/>
        </w:rPr>
      </w:pPr>
    </w:p>
    <w:p w:rsidR="0090305A" w:rsidRPr="00540EC6" w:rsidRDefault="0090305A" w:rsidP="007B0EBD">
      <w:pPr>
        <w:jc w:val="both"/>
        <w:rPr>
          <w:rFonts w:asciiTheme="minorHAnsi" w:eastAsia="Times New Roman" w:hAnsiTheme="minorHAnsi" w:cstheme="minorHAnsi"/>
        </w:rPr>
      </w:pPr>
      <w:r w:rsidRPr="00540EC6">
        <w:rPr>
          <w:rFonts w:asciiTheme="minorHAnsi" w:eastAsia="Times New Roman" w:hAnsiTheme="minorHAnsi" w:cstheme="minorHAnsi"/>
        </w:rPr>
        <w:t xml:space="preserve">Pri zajemu podatkov ima zaradi načina poročanja po proračunskih uporabnikih </w:t>
      </w:r>
      <w:r w:rsidR="0029376A" w:rsidRPr="00540EC6">
        <w:rPr>
          <w:rFonts w:asciiTheme="minorHAnsi" w:eastAsia="Times New Roman" w:hAnsiTheme="minorHAnsi" w:cstheme="minorHAnsi"/>
        </w:rPr>
        <w:t xml:space="preserve">aplikacija </w:t>
      </w:r>
      <w:r w:rsidRPr="00540EC6">
        <w:rPr>
          <w:rFonts w:asciiTheme="minorHAnsi" w:eastAsia="Times New Roman" w:hAnsiTheme="minorHAnsi" w:cstheme="minorHAnsi"/>
        </w:rPr>
        <w:t>ISPAP določene omejitve, ki jih je treba upoštevati pri razlagi dobljenih podatkov:</w:t>
      </w:r>
    </w:p>
    <w:p w:rsidR="000C590D" w:rsidRPr="00540EC6" w:rsidRDefault="000C590D" w:rsidP="00540EC6">
      <w:pPr>
        <w:contextualSpacing/>
        <w:mirrorIndents/>
        <w:jc w:val="both"/>
        <w:rPr>
          <w:rFonts w:asciiTheme="minorHAnsi" w:eastAsia="Times New Roman" w:hAnsiTheme="minorHAnsi" w:cstheme="minorHAnsi"/>
        </w:rPr>
      </w:pPr>
    </w:p>
    <w:p w:rsidR="0090305A" w:rsidRPr="00540EC6" w:rsidRDefault="0090305A" w:rsidP="00100BE0">
      <w:pPr>
        <w:pStyle w:val="Odstavekseznama"/>
        <w:numPr>
          <w:ilvl w:val="0"/>
          <w:numId w:val="7"/>
        </w:numPr>
        <w:ind w:left="567" w:hanging="425"/>
        <w:contextualSpacing/>
        <w:mirrorIndents/>
        <w:jc w:val="both"/>
        <w:rPr>
          <w:rFonts w:asciiTheme="minorHAnsi" w:eastAsia="Times New Roman" w:hAnsiTheme="minorHAnsi" w:cstheme="minorHAnsi"/>
        </w:rPr>
      </w:pPr>
      <w:r w:rsidRPr="00540EC6">
        <w:rPr>
          <w:rFonts w:asciiTheme="minorHAnsi" w:eastAsia="Times New Roman" w:hAnsiTheme="minorHAnsi" w:cstheme="minorHAnsi"/>
        </w:rPr>
        <w:t>pri poročanju ni mogoče razločiti zaposlenih in njihovih plač v primerih, ko so v osnovnih šolah ustanovljeni oddelki vrtcev;</w:t>
      </w:r>
    </w:p>
    <w:p w:rsidR="0090305A" w:rsidRPr="00540EC6" w:rsidRDefault="0090305A" w:rsidP="00100BE0">
      <w:pPr>
        <w:pStyle w:val="Odstavekseznama"/>
        <w:numPr>
          <w:ilvl w:val="0"/>
          <w:numId w:val="7"/>
        </w:numPr>
        <w:ind w:left="567" w:hanging="425"/>
        <w:contextualSpacing/>
        <w:mirrorIndents/>
        <w:jc w:val="both"/>
        <w:rPr>
          <w:rFonts w:asciiTheme="minorHAnsi" w:eastAsia="Times New Roman" w:hAnsiTheme="minorHAnsi" w:cstheme="minorHAnsi"/>
        </w:rPr>
      </w:pPr>
      <w:r w:rsidRPr="00540EC6">
        <w:rPr>
          <w:rFonts w:asciiTheme="minorHAnsi" w:eastAsia="Times New Roman" w:hAnsiTheme="minorHAnsi" w:cstheme="minorHAnsi"/>
        </w:rPr>
        <w:t>kadar so zaposlenih hkrati sistemizirani na dveh delovnih mestih z npr. polovičnim delovnim časom na vsakem, ISPAP šteje to kot dve zaposlitvi, vendar le kot eno plačo;</w:t>
      </w:r>
    </w:p>
    <w:p w:rsidR="0090305A" w:rsidRPr="00540EC6" w:rsidRDefault="0090305A" w:rsidP="00100BE0">
      <w:pPr>
        <w:pStyle w:val="Odstavekseznama"/>
        <w:numPr>
          <w:ilvl w:val="0"/>
          <w:numId w:val="7"/>
        </w:numPr>
        <w:ind w:left="567" w:hanging="425"/>
        <w:contextualSpacing/>
        <w:mirrorIndents/>
        <w:jc w:val="both"/>
        <w:rPr>
          <w:rFonts w:asciiTheme="minorHAnsi" w:eastAsia="Times New Roman" w:hAnsiTheme="minorHAnsi" w:cstheme="minorHAnsi"/>
        </w:rPr>
      </w:pPr>
      <w:r w:rsidRPr="00540EC6">
        <w:rPr>
          <w:rFonts w:asciiTheme="minorHAnsi" w:eastAsia="Times New Roman" w:hAnsiTheme="minorHAnsi" w:cstheme="minorHAnsi"/>
        </w:rPr>
        <w:t xml:space="preserve">zaradi nekonsistentnosti poročanja občin so v analizo vzeti samo zaposleni, </w:t>
      </w:r>
      <w:r w:rsidR="0029376A" w:rsidRPr="00540EC6">
        <w:rPr>
          <w:rFonts w:asciiTheme="minorHAnsi" w:eastAsia="Times New Roman" w:hAnsiTheme="minorHAnsi" w:cstheme="minorHAnsi"/>
        </w:rPr>
        <w:t>pri katerih j</w:t>
      </w:r>
      <w:r w:rsidRPr="00540EC6">
        <w:rPr>
          <w:rFonts w:asciiTheme="minorHAnsi" w:eastAsia="Times New Roman" w:hAnsiTheme="minorHAnsi" w:cstheme="minorHAnsi"/>
        </w:rPr>
        <w:t>e jasno razvidno, da je vir financiranja plač občinski proračun;</w:t>
      </w:r>
    </w:p>
    <w:p w:rsidR="0084592A" w:rsidRPr="00540EC6" w:rsidRDefault="0084592A" w:rsidP="00100BE0">
      <w:pPr>
        <w:pStyle w:val="Odstavekseznama"/>
        <w:numPr>
          <w:ilvl w:val="0"/>
          <w:numId w:val="7"/>
        </w:numPr>
        <w:ind w:left="567" w:hanging="425"/>
        <w:contextualSpacing/>
        <w:mirrorIndents/>
        <w:jc w:val="both"/>
        <w:rPr>
          <w:rFonts w:asciiTheme="minorHAnsi" w:eastAsia="Times New Roman" w:hAnsiTheme="minorHAnsi" w:cstheme="minorHAnsi"/>
        </w:rPr>
      </w:pPr>
      <w:r w:rsidRPr="00540EC6">
        <w:rPr>
          <w:rFonts w:asciiTheme="minorHAnsi" w:eastAsia="Times New Roman" w:hAnsiTheme="minorHAnsi" w:cstheme="minorHAnsi"/>
        </w:rPr>
        <w:t xml:space="preserve">iz skupnega zneska učinkov niso odštete morebitne dodatne državne dotacije, namenjene plačam občinskih javnih uslužbencev (npr. sofinanciranje zaposlenih v skupnih občinskih upravah, ki jih bodo občine prejele v letu 2020 za leto 2019); </w:t>
      </w:r>
    </w:p>
    <w:p w:rsidR="0090305A" w:rsidRPr="00540EC6" w:rsidRDefault="0090305A" w:rsidP="00100BE0">
      <w:pPr>
        <w:pStyle w:val="Odstavekseznama"/>
        <w:numPr>
          <w:ilvl w:val="0"/>
          <w:numId w:val="7"/>
        </w:numPr>
        <w:ind w:left="567" w:hanging="425"/>
        <w:contextualSpacing/>
        <w:mirrorIndents/>
        <w:jc w:val="both"/>
        <w:rPr>
          <w:rFonts w:asciiTheme="minorHAnsi" w:hAnsiTheme="minorHAnsi" w:cstheme="minorHAnsi"/>
        </w:rPr>
      </w:pPr>
      <w:r w:rsidRPr="00540EC6">
        <w:rPr>
          <w:rFonts w:asciiTheme="minorHAnsi" w:eastAsia="Times New Roman" w:hAnsiTheme="minorHAnsi" w:cstheme="minorHAnsi"/>
        </w:rPr>
        <w:t>v primerih soustanoviteljstva se zaposleni in strošk</w:t>
      </w:r>
      <w:r w:rsidR="0029376A" w:rsidRPr="00540EC6">
        <w:rPr>
          <w:rFonts w:asciiTheme="minorHAnsi" w:eastAsia="Times New Roman" w:hAnsiTheme="minorHAnsi" w:cstheme="minorHAnsi"/>
        </w:rPr>
        <w:t>i</w:t>
      </w:r>
      <w:r w:rsidRPr="00540EC6">
        <w:rPr>
          <w:rFonts w:asciiTheme="minorHAnsi" w:eastAsia="Times New Roman" w:hAnsiTheme="minorHAnsi" w:cstheme="minorHAnsi"/>
        </w:rPr>
        <w:t xml:space="preserve"> njihovih plač prikazuje</w:t>
      </w:r>
      <w:r w:rsidR="0029376A" w:rsidRPr="00540EC6">
        <w:rPr>
          <w:rFonts w:asciiTheme="minorHAnsi" w:eastAsia="Times New Roman" w:hAnsiTheme="minorHAnsi" w:cstheme="minorHAnsi"/>
        </w:rPr>
        <w:t>jo</w:t>
      </w:r>
      <w:r w:rsidRPr="00540EC6">
        <w:rPr>
          <w:rFonts w:asciiTheme="minorHAnsi" w:eastAsia="Times New Roman" w:hAnsiTheme="minorHAnsi" w:cstheme="minorHAnsi"/>
        </w:rPr>
        <w:t xml:space="preserve"> samo pri sedežni občini, ne pa tudi pri občinah soustanoviteljicah, ki sofinancirajo zavod ali refundirajo sredstva sedežni občini. Od skupno 1.063 občinskih javnih zavodov je po podatkih AJPES </w:t>
      </w:r>
      <w:r w:rsidRPr="00540EC6">
        <w:rPr>
          <w:rFonts w:asciiTheme="minorHAnsi" w:hAnsiTheme="minorHAnsi" w:cstheme="minorHAnsi"/>
        </w:rPr>
        <w:t>118 zavodov, kjer so ustanoviteljice dve ali več občin in 9 zavodov, kjer sta ustanoviteljici občina in država.</w:t>
      </w:r>
      <w:r w:rsidR="000C590D" w:rsidRPr="00540EC6">
        <w:rPr>
          <w:rFonts w:asciiTheme="minorHAnsi" w:hAnsiTheme="minorHAnsi" w:cstheme="minorHAnsi"/>
        </w:rPr>
        <w:t xml:space="preserve"> </w:t>
      </w:r>
    </w:p>
    <w:p w:rsidR="000C590D" w:rsidRDefault="000C590D" w:rsidP="00540EC6">
      <w:pPr>
        <w:contextualSpacing/>
        <w:mirrorIndents/>
        <w:jc w:val="both"/>
        <w:rPr>
          <w:rFonts w:asciiTheme="minorHAnsi" w:hAnsiTheme="minorHAnsi" w:cstheme="minorHAnsi"/>
        </w:rPr>
      </w:pPr>
      <w:r w:rsidRPr="000C590D">
        <w:rPr>
          <w:rFonts w:asciiTheme="minorHAnsi" w:hAnsiTheme="minorHAnsi" w:cstheme="minorHAnsi"/>
        </w:rPr>
        <w:t>V analizi se ugotavlja ocena finančnega učinka v masi plač (bruto bruto) po občinah in javnih zavodih, katerih plače se financirajo iz občinskih proračunov, in sicer na podlagi deleža o viru financiranja »proračuni občin«</w:t>
      </w:r>
      <w:r w:rsidRPr="00540EC6">
        <w:rPr>
          <w:rFonts w:asciiTheme="minorHAnsi" w:hAnsiTheme="minorHAnsi" w:cstheme="minorHAnsi"/>
        </w:rPr>
        <w:t xml:space="preserve"> (Tabela 1)</w:t>
      </w:r>
      <w:r w:rsidRPr="000C590D">
        <w:rPr>
          <w:rFonts w:asciiTheme="minorHAnsi" w:hAnsiTheme="minorHAnsi" w:cstheme="minorHAnsi"/>
        </w:rPr>
        <w:t>.  V Tabeli 3 so navedeni javni zavodi, ki niso poročali podatkov o virih financiranja plač. Tem podatkom smo določili, da se plače 100 % financirajo iz proračunov občin.</w:t>
      </w:r>
    </w:p>
    <w:p w:rsidR="00452C00" w:rsidRPr="000C590D" w:rsidRDefault="00452C00" w:rsidP="00540EC6">
      <w:pPr>
        <w:contextualSpacing/>
        <w:mirrorIndents/>
        <w:jc w:val="both"/>
        <w:rPr>
          <w:rFonts w:asciiTheme="minorHAnsi" w:hAnsiTheme="minorHAnsi" w:cstheme="minorHAnsi"/>
        </w:rPr>
      </w:pPr>
    </w:p>
    <w:p w:rsidR="000C590D" w:rsidRDefault="000C590D" w:rsidP="00540EC6">
      <w:pPr>
        <w:contextualSpacing/>
        <w:mirrorIndents/>
        <w:jc w:val="both"/>
        <w:rPr>
          <w:rFonts w:asciiTheme="minorHAnsi" w:hAnsiTheme="minorHAnsi" w:cstheme="minorHAnsi"/>
        </w:rPr>
      </w:pPr>
      <w:r w:rsidRPr="000C590D">
        <w:rPr>
          <w:rFonts w:asciiTheme="minorHAnsi" w:hAnsiTheme="minorHAnsi" w:cstheme="minorHAnsi"/>
        </w:rPr>
        <w:t>Ocena finančnega učinka je izračunana iz predpostavke, da bodo javni uslužbenci, ki so zajeti v podatkih ISPAP za obračunski mesec december 2018, zaposleni tudi nadaljnjih 12 mesecev z enakimi deleži zaposlitve in enakimi deleži virov financiranja plač. Izračun temelji na vrednosti osnovnih plač, ki so multiplicirane z izračunanim količnikom, ki predstavlja povečanje osnovnih plač zaradi dodatkov, dela preko polnega delovnega časa in dežurnega dela. V izračunu niso upoštevana izplačila iz naslova delovne uspešnosti. Količnik je izračunan na podlagi letnih podatkov (2018).</w:t>
      </w:r>
    </w:p>
    <w:p w:rsidR="00452C00" w:rsidRPr="000C590D" w:rsidRDefault="00452C00" w:rsidP="00540EC6">
      <w:pPr>
        <w:contextualSpacing/>
        <w:mirrorIndents/>
        <w:jc w:val="both"/>
        <w:rPr>
          <w:rFonts w:asciiTheme="minorHAnsi" w:hAnsiTheme="minorHAnsi" w:cstheme="minorHAnsi"/>
        </w:rPr>
      </w:pPr>
    </w:p>
    <w:p w:rsidR="000C590D" w:rsidRDefault="000C590D" w:rsidP="00540EC6">
      <w:pPr>
        <w:contextualSpacing/>
        <w:mirrorIndents/>
        <w:jc w:val="both"/>
        <w:rPr>
          <w:rFonts w:asciiTheme="minorHAnsi" w:hAnsiTheme="minorHAnsi" w:cstheme="minorHAnsi"/>
        </w:rPr>
      </w:pPr>
      <w:r w:rsidRPr="000C590D">
        <w:rPr>
          <w:rFonts w:asciiTheme="minorHAnsi" w:hAnsiTheme="minorHAnsi" w:cstheme="minorHAnsi"/>
        </w:rPr>
        <w:t>Izračuni temeljijo na podatkih o plačah za občine in javne zavode, ki jih je ustanovila občina in katerih plače javnih uslužbencev se financirajo iz občinskih proračunov, pri čemer so izvzeti javni zavodi s šifro dejavnosti SKD 85.200 (osnovne šole)</w:t>
      </w:r>
      <w:r w:rsidR="0029376A" w:rsidRPr="00540EC6">
        <w:rPr>
          <w:rFonts w:asciiTheme="minorHAnsi" w:hAnsiTheme="minorHAnsi" w:cstheme="minorHAnsi"/>
        </w:rPr>
        <w:t xml:space="preserve">, </w:t>
      </w:r>
      <w:r w:rsidRPr="000C590D">
        <w:rPr>
          <w:rFonts w:asciiTheme="minorHAnsi" w:hAnsiTheme="minorHAnsi" w:cstheme="minorHAnsi"/>
        </w:rPr>
        <w:t>s šifro SKD 86.210 (zdravstveni domovi) in šifro SKD 47.730 (lekarne).</w:t>
      </w:r>
      <w:r w:rsidRPr="00540EC6">
        <w:rPr>
          <w:rFonts w:asciiTheme="minorHAnsi" w:hAnsiTheme="minorHAnsi" w:cstheme="minorHAnsi"/>
        </w:rPr>
        <w:t xml:space="preserve"> Pri slednjih je število zaposlenih sicer všteto, plače pa ne.</w:t>
      </w:r>
    </w:p>
    <w:p w:rsidR="00452C00" w:rsidRPr="000C590D" w:rsidRDefault="00452C00" w:rsidP="00540EC6">
      <w:pPr>
        <w:contextualSpacing/>
        <w:mirrorIndents/>
        <w:jc w:val="both"/>
        <w:rPr>
          <w:rFonts w:asciiTheme="minorHAnsi" w:hAnsiTheme="minorHAnsi" w:cstheme="minorHAnsi"/>
        </w:rPr>
      </w:pPr>
    </w:p>
    <w:p w:rsidR="000C590D" w:rsidRPr="000C590D" w:rsidRDefault="000C590D" w:rsidP="00540EC6">
      <w:pPr>
        <w:contextualSpacing/>
        <w:mirrorIndents/>
        <w:jc w:val="both"/>
        <w:rPr>
          <w:rFonts w:asciiTheme="minorHAnsi" w:hAnsiTheme="minorHAnsi" w:cstheme="minorHAnsi"/>
        </w:rPr>
      </w:pPr>
      <w:r w:rsidRPr="000C590D">
        <w:rPr>
          <w:rFonts w:asciiTheme="minorHAnsi" w:hAnsiTheme="minorHAnsi" w:cstheme="minorHAnsi"/>
        </w:rPr>
        <w:t>Število zaposlenih pomeni število oseb, ki so evidentirane pri obračunu plač, pri čemer je oseba šteta večkrat, če zaseda različna delovna mesta v deležih zaposlitve. Prav tako so upoštevane tudi osebe, za katere plača ni bila obračunana, so pa zanje posredovani osnovni podatki, potrebni za obračun plač (npr. zaposleni, ki so odsotni zaradi refundiranih nadomestil in tudi zaposleni na materinskem oziroma očetovskem dopustu).</w:t>
      </w:r>
    </w:p>
    <w:p w:rsidR="000C590D" w:rsidRDefault="000C590D" w:rsidP="00540EC6">
      <w:pPr>
        <w:contextualSpacing/>
        <w:mirrorIndents/>
        <w:jc w:val="both"/>
        <w:rPr>
          <w:rFonts w:asciiTheme="minorHAnsi" w:hAnsiTheme="minorHAnsi" w:cstheme="minorHAnsi"/>
        </w:rPr>
      </w:pPr>
      <w:r w:rsidRPr="000C590D">
        <w:rPr>
          <w:rFonts w:asciiTheme="minorHAnsi" w:hAnsiTheme="minorHAnsi" w:cstheme="minorHAnsi"/>
        </w:rPr>
        <w:t xml:space="preserve">Pravice do izplačila višjih plač za en, dva, tri ali več plačnih razredov so zaposleni pridobili v treh obrokih, in sicer za </w:t>
      </w:r>
    </w:p>
    <w:p w:rsidR="00452C00" w:rsidRPr="000C590D" w:rsidRDefault="00452C00" w:rsidP="00540EC6">
      <w:pPr>
        <w:contextualSpacing/>
        <w:mirrorIndents/>
        <w:jc w:val="both"/>
        <w:rPr>
          <w:rFonts w:asciiTheme="minorHAnsi" w:hAnsiTheme="minorHAnsi" w:cstheme="minorHAnsi"/>
        </w:rPr>
      </w:pPr>
    </w:p>
    <w:p w:rsidR="000C590D" w:rsidRPr="000C590D" w:rsidRDefault="000C590D" w:rsidP="00540EC6">
      <w:pPr>
        <w:numPr>
          <w:ilvl w:val="0"/>
          <w:numId w:val="8"/>
        </w:numPr>
        <w:ind w:left="0"/>
        <w:contextualSpacing/>
        <w:mirrorIndents/>
        <w:jc w:val="both"/>
        <w:rPr>
          <w:rFonts w:asciiTheme="minorHAnsi" w:hAnsiTheme="minorHAnsi" w:cstheme="minorHAnsi"/>
        </w:rPr>
      </w:pPr>
      <w:r w:rsidRPr="000C590D">
        <w:rPr>
          <w:rFonts w:asciiTheme="minorHAnsi" w:hAnsiTheme="minorHAnsi" w:cstheme="minorHAnsi"/>
        </w:rPr>
        <w:t>prvi plačni razred povišanja 1.1.2019 (s plačo za januar 2019, izplačano v februarju 2019</w:t>
      </w:r>
      <w:r w:rsidR="00FA7BEB">
        <w:rPr>
          <w:rFonts w:asciiTheme="minorHAnsi" w:hAnsiTheme="minorHAnsi" w:cstheme="minorHAnsi"/>
        </w:rPr>
        <w:t>)</w:t>
      </w:r>
      <w:r w:rsidRPr="000C590D">
        <w:rPr>
          <w:rFonts w:asciiTheme="minorHAnsi" w:hAnsiTheme="minorHAnsi" w:cstheme="minorHAnsi"/>
        </w:rPr>
        <w:t>,</w:t>
      </w:r>
    </w:p>
    <w:p w:rsidR="000C590D" w:rsidRPr="000C590D" w:rsidRDefault="000C590D" w:rsidP="00540EC6">
      <w:pPr>
        <w:numPr>
          <w:ilvl w:val="0"/>
          <w:numId w:val="8"/>
        </w:numPr>
        <w:ind w:left="0"/>
        <w:contextualSpacing/>
        <w:mirrorIndents/>
        <w:jc w:val="both"/>
        <w:rPr>
          <w:rFonts w:asciiTheme="minorHAnsi" w:hAnsiTheme="minorHAnsi" w:cstheme="minorHAnsi"/>
        </w:rPr>
      </w:pPr>
      <w:r w:rsidRPr="000C590D">
        <w:rPr>
          <w:rFonts w:asciiTheme="minorHAnsi" w:hAnsiTheme="minorHAnsi" w:cstheme="minorHAnsi"/>
        </w:rPr>
        <w:t>drugi plačni razred povišanja 1.11.2019 (s plačo za november 2019, ki bo izplačana v decembru 2019),</w:t>
      </w:r>
    </w:p>
    <w:p w:rsidR="000C590D" w:rsidRPr="000C590D" w:rsidRDefault="000C590D" w:rsidP="00540EC6">
      <w:pPr>
        <w:numPr>
          <w:ilvl w:val="0"/>
          <w:numId w:val="8"/>
        </w:numPr>
        <w:ind w:left="0"/>
        <w:contextualSpacing/>
        <w:mirrorIndents/>
        <w:jc w:val="both"/>
        <w:rPr>
          <w:rFonts w:asciiTheme="minorHAnsi" w:hAnsiTheme="minorHAnsi" w:cstheme="minorHAnsi"/>
        </w:rPr>
      </w:pPr>
      <w:r w:rsidRPr="000C590D">
        <w:rPr>
          <w:rFonts w:asciiTheme="minorHAnsi" w:hAnsiTheme="minorHAnsi" w:cstheme="minorHAnsi"/>
        </w:rPr>
        <w:t>morebitni tretji in ostale plačne razrede povišanja 1.9.2020 (s plačo za september 2020, ki bo izplačana oktobra 2020).</w:t>
      </w:r>
    </w:p>
    <w:p w:rsidR="000C590D" w:rsidRPr="00540EC6" w:rsidRDefault="000C590D" w:rsidP="00540EC6">
      <w:pPr>
        <w:contextualSpacing/>
        <w:mirrorIndents/>
        <w:jc w:val="both"/>
        <w:rPr>
          <w:rFonts w:asciiTheme="minorHAnsi" w:hAnsiTheme="minorHAnsi" w:cstheme="minorHAnsi"/>
        </w:rPr>
      </w:pPr>
    </w:p>
    <w:p w:rsidR="000C590D" w:rsidRPr="000C590D" w:rsidRDefault="000C590D" w:rsidP="00540EC6">
      <w:pPr>
        <w:contextualSpacing/>
        <w:mirrorIndents/>
        <w:jc w:val="both"/>
        <w:rPr>
          <w:rFonts w:asciiTheme="minorHAnsi" w:hAnsiTheme="minorHAnsi" w:cstheme="minorHAnsi"/>
        </w:rPr>
      </w:pPr>
      <w:r w:rsidRPr="000C590D">
        <w:rPr>
          <w:rFonts w:asciiTheme="minorHAnsi" w:hAnsiTheme="minorHAnsi" w:cstheme="minorHAnsi"/>
        </w:rPr>
        <w:t xml:space="preserve">Ocena finančnega učinka za leto 2019 je izračunana na podlagi podatkov za delovna mesta, ki jih zasedajo zaposleni, </w:t>
      </w:r>
    </w:p>
    <w:p w:rsidR="000C590D" w:rsidRPr="000C590D" w:rsidRDefault="000C590D" w:rsidP="00540EC6">
      <w:pPr>
        <w:numPr>
          <w:ilvl w:val="0"/>
          <w:numId w:val="8"/>
        </w:numPr>
        <w:ind w:left="0"/>
        <w:contextualSpacing/>
        <w:mirrorIndents/>
        <w:jc w:val="both"/>
        <w:rPr>
          <w:rFonts w:asciiTheme="minorHAnsi" w:hAnsiTheme="minorHAnsi" w:cstheme="minorHAnsi"/>
        </w:rPr>
      </w:pPr>
      <w:r w:rsidRPr="000C590D">
        <w:rPr>
          <w:rFonts w:asciiTheme="minorHAnsi" w:hAnsiTheme="minorHAnsi" w:cstheme="minorHAnsi"/>
        </w:rPr>
        <w:t xml:space="preserve">ki so pridobili pravico do povišanja za prvi plačni razred za vseh 12 mesecev v letu 2019, </w:t>
      </w:r>
    </w:p>
    <w:p w:rsidR="000C590D" w:rsidRPr="000C590D" w:rsidRDefault="000C590D" w:rsidP="00540EC6">
      <w:pPr>
        <w:numPr>
          <w:ilvl w:val="0"/>
          <w:numId w:val="8"/>
        </w:numPr>
        <w:ind w:left="0"/>
        <w:contextualSpacing/>
        <w:mirrorIndents/>
        <w:jc w:val="both"/>
        <w:rPr>
          <w:rFonts w:asciiTheme="minorHAnsi" w:hAnsiTheme="minorHAnsi" w:cstheme="minorHAnsi"/>
        </w:rPr>
      </w:pPr>
      <w:r w:rsidRPr="000C590D">
        <w:rPr>
          <w:rFonts w:asciiTheme="minorHAnsi" w:hAnsiTheme="minorHAnsi" w:cstheme="minorHAnsi"/>
        </w:rPr>
        <w:t xml:space="preserve">ki so pridobili pravico do povišanja za drugi plačni razred pri plači za november in december 2019. </w:t>
      </w:r>
    </w:p>
    <w:p w:rsidR="000C590D" w:rsidRPr="000C590D" w:rsidRDefault="000C590D" w:rsidP="00540EC6">
      <w:pPr>
        <w:contextualSpacing/>
        <w:mirrorIndents/>
        <w:jc w:val="both"/>
        <w:rPr>
          <w:rFonts w:asciiTheme="minorHAnsi" w:hAnsiTheme="minorHAnsi" w:cstheme="minorHAnsi"/>
        </w:rPr>
      </w:pPr>
      <w:r w:rsidRPr="000C590D">
        <w:rPr>
          <w:rFonts w:asciiTheme="minorHAnsi" w:hAnsiTheme="minorHAnsi" w:cstheme="minorHAnsi"/>
        </w:rPr>
        <w:t xml:space="preserve">Ocena finančnega učinka za leto 2020 pa predstavlja ocenjeni finančni učinek za leto 2019. </w:t>
      </w:r>
    </w:p>
    <w:p w:rsidR="000C590D" w:rsidRPr="00540EC6" w:rsidRDefault="000C590D" w:rsidP="00540EC6">
      <w:pPr>
        <w:contextualSpacing/>
        <w:mirrorIndents/>
        <w:jc w:val="both"/>
        <w:rPr>
          <w:rFonts w:asciiTheme="minorHAnsi" w:hAnsiTheme="minorHAnsi" w:cstheme="minorHAnsi"/>
        </w:rPr>
      </w:pPr>
    </w:p>
    <w:p w:rsidR="000E6976" w:rsidRPr="00540EC6" w:rsidRDefault="007E1184" w:rsidP="00540EC6">
      <w:pPr>
        <w:pStyle w:val="Odstavekseznama"/>
        <w:numPr>
          <w:ilvl w:val="0"/>
          <w:numId w:val="5"/>
        </w:numPr>
        <w:ind w:left="0"/>
        <w:contextualSpacing/>
        <w:mirrorIndents/>
        <w:jc w:val="both"/>
        <w:rPr>
          <w:rFonts w:asciiTheme="minorHAnsi" w:hAnsiTheme="minorHAnsi" w:cstheme="minorHAnsi"/>
          <w:b/>
        </w:rPr>
      </w:pPr>
      <w:r>
        <w:rPr>
          <w:rFonts w:asciiTheme="minorHAnsi" w:hAnsiTheme="minorHAnsi" w:cstheme="minorHAnsi"/>
          <w:b/>
        </w:rPr>
        <w:t>Sklepne ugotovitve</w:t>
      </w:r>
    </w:p>
    <w:p w:rsidR="000E6976" w:rsidRPr="00540EC6" w:rsidRDefault="000E6976" w:rsidP="00540EC6">
      <w:pPr>
        <w:contextualSpacing/>
        <w:mirrorIndents/>
        <w:jc w:val="both"/>
        <w:rPr>
          <w:rFonts w:asciiTheme="minorHAnsi" w:hAnsiTheme="minorHAnsi" w:cstheme="minorHAnsi"/>
          <w:b/>
        </w:rPr>
      </w:pPr>
    </w:p>
    <w:p w:rsidR="007A0276" w:rsidRDefault="007A0276" w:rsidP="007E1184">
      <w:pPr>
        <w:jc w:val="both"/>
      </w:pPr>
      <w:r>
        <w:t xml:space="preserve">Rezultati analize s pomočjo podatkov iz ISPAP kažejo, da naj bi odhodki občinskih proračunov zaradi učinkov povišanja plač znašali 19, 6 mio evrov.  </w:t>
      </w:r>
    </w:p>
    <w:p w:rsidR="007A0276" w:rsidRDefault="007A0276" w:rsidP="007E1184">
      <w:pPr>
        <w:jc w:val="both"/>
      </w:pPr>
    </w:p>
    <w:p w:rsidR="007E1184" w:rsidRDefault="007E1184" w:rsidP="007E1184">
      <w:pPr>
        <w:jc w:val="both"/>
      </w:pPr>
      <w:r>
        <w:t xml:space="preserve">Vlada Republike Slovenije in reprezentativna združenja občin so sprejeli dogovor o višini povprečnine za leto 2019, ki znaša 573,50 EUR. V primerjavi z letom 2018, ko je povprečnina znašala 551 EUR, je povprečnina višja za 22,5 EUR. Občine so v letu 2018 prejele </w:t>
      </w:r>
      <w:r w:rsidRPr="002D11C0">
        <w:t>1.154.638.564</w:t>
      </w:r>
      <w:r>
        <w:t xml:space="preserve"> EUR sredstev primerne porabe iz naslova dohodnine, v letu 2019 pa </w:t>
      </w:r>
      <w:r w:rsidRPr="008C2470">
        <w:t>1.186.218.380</w:t>
      </w:r>
      <w:r>
        <w:t xml:space="preserve"> EUR sredstev primerne porabe iz naslova dohodnine in 18.370.510 EUR iz državnega proračuna kot finančno izravnavo. Občine so v letu 2019 tako prejele 1.204.588.890 EUR za financiranje obveznih občinskih nalog, kar je 49.950.326 EUR več kot leta 2018. Del povišanja povprečnine je bil namenjen tudi pričakovanim višjim stroškom občin, zaradi predvidenega povišanja plač v javnem sektorju v letu 2019. </w:t>
      </w:r>
    </w:p>
    <w:p w:rsidR="0085609A" w:rsidRPr="00540EC6" w:rsidRDefault="0085609A" w:rsidP="00540EC6">
      <w:pPr>
        <w:contextualSpacing/>
        <w:mirrorIndents/>
        <w:jc w:val="both"/>
        <w:rPr>
          <w:rFonts w:asciiTheme="minorHAnsi" w:hAnsiTheme="minorHAnsi" w:cstheme="minorHAnsi"/>
        </w:rPr>
      </w:pPr>
    </w:p>
    <w:p w:rsidR="00F32CD8" w:rsidRPr="00540EC6" w:rsidRDefault="0084592A" w:rsidP="00540EC6">
      <w:pPr>
        <w:contextualSpacing/>
        <w:mirrorIndents/>
        <w:jc w:val="both"/>
        <w:rPr>
          <w:rFonts w:asciiTheme="minorHAnsi" w:hAnsiTheme="minorHAnsi" w:cstheme="minorHAnsi"/>
        </w:rPr>
      </w:pPr>
      <w:r w:rsidRPr="00540EC6">
        <w:rPr>
          <w:rFonts w:asciiTheme="minorHAnsi" w:hAnsiTheme="minorHAnsi" w:cstheme="minorHAnsi"/>
        </w:rPr>
        <w:t>V skladu s Poročilom Delovne skupine za pripravo predlogov predpisov, ki bodo zmanjšali stroške občin, bodo z Zakonom o zmanjšanju stroškov občin v letu 2020 zmanjšane obveznosti občin v višini najmanj 31 mio evrov</w:t>
      </w:r>
      <w:r w:rsidR="007D39EF" w:rsidRPr="00540EC6">
        <w:rPr>
          <w:rFonts w:asciiTheme="minorHAnsi" w:hAnsiTheme="minorHAnsi" w:cstheme="minorHAnsi"/>
        </w:rPr>
        <w:t xml:space="preserve">. Skupni </w:t>
      </w:r>
      <w:r w:rsidR="004D24E1" w:rsidRPr="00540EC6">
        <w:rPr>
          <w:rFonts w:asciiTheme="minorHAnsi" w:hAnsiTheme="minorHAnsi" w:cstheme="minorHAnsi"/>
        </w:rPr>
        <w:t xml:space="preserve">znesek </w:t>
      </w:r>
      <w:r w:rsidR="007D39EF" w:rsidRPr="00540EC6">
        <w:rPr>
          <w:rFonts w:asciiTheme="minorHAnsi" w:hAnsiTheme="minorHAnsi" w:cstheme="minorHAnsi"/>
        </w:rPr>
        <w:t>zmanjšanja stroš</w:t>
      </w:r>
      <w:r w:rsidR="0085609A" w:rsidRPr="00540EC6">
        <w:rPr>
          <w:rFonts w:asciiTheme="minorHAnsi" w:hAnsiTheme="minorHAnsi" w:cstheme="minorHAnsi"/>
        </w:rPr>
        <w:t xml:space="preserve">kov občin za prihodnje leto </w:t>
      </w:r>
      <w:r w:rsidR="004D24E1" w:rsidRPr="00540EC6">
        <w:rPr>
          <w:rFonts w:asciiTheme="minorHAnsi" w:hAnsiTheme="minorHAnsi" w:cstheme="minorHAnsi"/>
        </w:rPr>
        <w:t>pa bo pričakovan</w:t>
      </w:r>
      <w:r w:rsidR="007D39EF" w:rsidRPr="00540EC6">
        <w:rPr>
          <w:rFonts w:asciiTheme="minorHAnsi" w:hAnsiTheme="minorHAnsi" w:cstheme="minorHAnsi"/>
        </w:rPr>
        <w:t>o večji, saj</w:t>
      </w:r>
      <w:r w:rsidR="004D24E1" w:rsidRPr="00540EC6">
        <w:rPr>
          <w:rFonts w:asciiTheme="minorHAnsi" w:hAnsiTheme="minorHAnsi" w:cstheme="minorHAnsi"/>
        </w:rPr>
        <w:t xml:space="preserve"> </w:t>
      </w:r>
      <w:r w:rsidRPr="00540EC6">
        <w:rPr>
          <w:rFonts w:asciiTheme="minorHAnsi" w:hAnsiTheme="minorHAnsi" w:cstheme="minorHAnsi"/>
        </w:rPr>
        <w:t>o</w:t>
      </w:r>
      <w:r w:rsidR="004D24E1" w:rsidRPr="00540EC6">
        <w:rPr>
          <w:rFonts w:asciiTheme="minorHAnsi" w:hAnsiTheme="minorHAnsi" w:cstheme="minorHAnsi"/>
        </w:rPr>
        <w:t>c</w:t>
      </w:r>
      <w:r w:rsidRPr="00540EC6">
        <w:rPr>
          <w:rFonts w:asciiTheme="minorHAnsi" w:hAnsiTheme="minorHAnsi" w:cstheme="minorHAnsi"/>
        </w:rPr>
        <w:t>ena finanč</w:t>
      </w:r>
      <w:r w:rsidR="004D24E1" w:rsidRPr="00540EC6">
        <w:rPr>
          <w:rFonts w:asciiTheme="minorHAnsi" w:hAnsiTheme="minorHAnsi" w:cstheme="minorHAnsi"/>
        </w:rPr>
        <w:t xml:space="preserve">nih učinkov zmanjšanja stroškov občin </w:t>
      </w:r>
      <w:r w:rsidR="0085609A" w:rsidRPr="00540EC6">
        <w:rPr>
          <w:rFonts w:asciiTheme="minorHAnsi" w:hAnsiTheme="minorHAnsi" w:cstheme="minorHAnsi"/>
        </w:rPr>
        <w:t>zaradi</w:t>
      </w:r>
      <w:r w:rsidR="004D24E1" w:rsidRPr="00540EC6">
        <w:rPr>
          <w:rFonts w:asciiTheme="minorHAnsi" w:hAnsiTheme="minorHAnsi" w:cstheme="minorHAnsi"/>
        </w:rPr>
        <w:t xml:space="preserve"> sprememb</w:t>
      </w:r>
      <w:r w:rsidR="0085609A" w:rsidRPr="00540EC6">
        <w:rPr>
          <w:rFonts w:asciiTheme="minorHAnsi" w:hAnsiTheme="minorHAnsi" w:cstheme="minorHAnsi"/>
        </w:rPr>
        <w:t>e</w:t>
      </w:r>
      <w:r w:rsidR="004D24E1" w:rsidRPr="00540EC6">
        <w:rPr>
          <w:rFonts w:asciiTheme="minorHAnsi" w:hAnsiTheme="minorHAnsi" w:cstheme="minorHAnsi"/>
        </w:rPr>
        <w:t xml:space="preserve"> preostalih dogovorjenih zakonov še ni izdelana. </w:t>
      </w:r>
    </w:p>
    <w:sectPr w:rsidR="00F32CD8" w:rsidRPr="00540EC6" w:rsidSect="00F32CD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7E0E"/>
    <w:multiLevelType w:val="hybridMultilevel"/>
    <w:tmpl w:val="83582774"/>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2ED6911"/>
    <w:multiLevelType w:val="hybridMultilevel"/>
    <w:tmpl w:val="0478F290"/>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2F326C5"/>
    <w:multiLevelType w:val="hybridMultilevel"/>
    <w:tmpl w:val="33A49B2E"/>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3403AA"/>
    <w:multiLevelType w:val="hybridMultilevel"/>
    <w:tmpl w:val="DDE05954"/>
    <w:lvl w:ilvl="0" w:tplc="A5CE5442">
      <w:start w:val="12"/>
      <w:numFmt w:val="bullet"/>
      <w:lvlText w:val="-"/>
      <w:lvlJc w:val="left"/>
      <w:pPr>
        <w:ind w:left="2160" w:hanging="360"/>
      </w:pPr>
      <w:rPr>
        <w:rFonts w:ascii="Calibri" w:eastAsia="Times New Roman" w:hAnsi="Calibri" w:cs="Calibri" w:hint="default"/>
      </w:rPr>
    </w:lvl>
    <w:lvl w:ilvl="1" w:tplc="04240003">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4" w15:restartNumberingAfterBreak="0">
    <w:nsid w:val="25515833"/>
    <w:multiLevelType w:val="hybridMultilevel"/>
    <w:tmpl w:val="906634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E1311F3"/>
    <w:multiLevelType w:val="hybridMultilevel"/>
    <w:tmpl w:val="7DFA499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8D71D3B"/>
    <w:multiLevelType w:val="hybridMultilevel"/>
    <w:tmpl w:val="10A02D74"/>
    <w:lvl w:ilvl="0" w:tplc="9CFAC88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4"/>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6E"/>
    <w:rsid w:val="000C236F"/>
    <w:rsid w:val="000C590D"/>
    <w:rsid w:val="000E6976"/>
    <w:rsid w:val="00100BE0"/>
    <w:rsid w:val="001C42DF"/>
    <w:rsid w:val="001F5CB4"/>
    <w:rsid w:val="0029376A"/>
    <w:rsid w:val="002A434C"/>
    <w:rsid w:val="003F0CD5"/>
    <w:rsid w:val="004515D3"/>
    <w:rsid w:val="00452C00"/>
    <w:rsid w:val="00496B55"/>
    <w:rsid w:val="004D24E1"/>
    <w:rsid w:val="004D3697"/>
    <w:rsid w:val="00540EC6"/>
    <w:rsid w:val="00605E75"/>
    <w:rsid w:val="006169C7"/>
    <w:rsid w:val="00620629"/>
    <w:rsid w:val="006D7F93"/>
    <w:rsid w:val="007A0276"/>
    <w:rsid w:val="007A269D"/>
    <w:rsid w:val="007B0EBD"/>
    <w:rsid w:val="007D39EF"/>
    <w:rsid w:val="007D787F"/>
    <w:rsid w:val="007E1184"/>
    <w:rsid w:val="0084592A"/>
    <w:rsid w:val="0085609A"/>
    <w:rsid w:val="008B0405"/>
    <w:rsid w:val="0090305A"/>
    <w:rsid w:val="00CC216F"/>
    <w:rsid w:val="00CC4A6E"/>
    <w:rsid w:val="00DD5F88"/>
    <w:rsid w:val="00E706C5"/>
    <w:rsid w:val="00F32CD8"/>
    <w:rsid w:val="00FA7B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47A6"/>
  <w15:chartTrackingRefBased/>
  <w15:docId w15:val="{9559BB2F-2A6B-4FDB-B944-089166FB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C4A6E"/>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C4A6E"/>
    <w:pPr>
      <w:ind w:left="720"/>
    </w:pPr>
  </w:style>
  <w:style w:type="character" w:styleId="Hiperpovezava">
    <w:name w:val="Hyperlink"/>
    <w:basedOn w:val="Privzetapisavaodstavka"/>
    <w:uiPriority w:val="99"/>
    <w:semiHidden/>
    <w:unhideWhenUsed/>
    <w:rsid w:val="008B0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07596">
      <w:bodyDiv w:val="1"/>
      <w:marLeft w:val="0"/>
      <w:marRight w:val="0"/>
      <w:marTop w:val="0"/>
      <w:marBottom w:val="0"/>
      <w:divBdr>
        <w:top w:val="none" w:sz="0" w:space="0" w:color="auto"/>
        <w:left w:val="none" w:sz="0" w:space="0" w:color="auto"/>
        <w:bottom w:val="none" w:sz="0" w:space="0" w:color="auto"/>
        <w:right w:val="none" w:sz="0" w:space="0" w:color="auto"/>
      </w:divBdr>
    </w:div>
    <w:div w:id="1163742433">
      <w:bodyDiv w:val="1"/>
      <w:marLeft w:val="0"/>
      <w:marRight w:val="0"/>
      <w:marTop w:val="0"/>
      <w:marBottom w:val="0"/>
      <w:divBdr>
        <w:top w:val="none" w:sz="0" w:space="0" w:color="auto"/>
        <w:left w:val="none" w:sz="0" w:space="0" w:color="auto"/>
        <w:bottom w:val="none" w:sz="0" w:space="0" w:color="auto"/>
        <w:right w:val="none" w:sz="0" w:space="0" w:color="auto"/>
      </w:divBdr>
    </w:div>
    <w:div w:id="1897887312">
      <w:bodyDiv w:val="1"/>
      <w:marLeft w:val="0"/>
      <w:marRight w:val="0"/>
      <w:marTop w:val="0"/>
      <w:marBottom w:val="0"/>
      <w:divBdr>
        <w:top w:val="none" w:sz="0" w:space="0" w:color="auto"/>
        <w:left w:val="none" w:sz="0" w:space="0" w:color="auto"/>
        <w:bottom w:val="none" w:sz="0" w:space="0" w:color="auto"/>
        <w:right w:val="none" w:sz="0" w:space="0" w:color="auto"/>
      </w:divBdr>
    </w:div>
    <w:div w:id="19532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URED5027" TargetMode="External"/><Relationship Id="rId3" Type="http://schemas.openxmlformats.org/officeDocument/2006/relationships/settings" Target="settings.xml"/><Relationship Id="rId7" Type="http://schemas.openxmlformats.org/officeDocument/2006/relationships/hyperlink" Target="http://www.pisrs.si/Pis.web/pregledPredpisa?id=PRAV12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isrs.si/Pis.web/pregledPredpisa?id=URED266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1881</Words>
  <Characters>10728</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Lavtar</dc:creator>
  <cp:keywords/>
  <dc:description/>
  <cp:lastModifiedBy>Andrej Čokert</cp:lastModifiedBy>
  <cp:revision>3</cp:revision>
  <dcterms:created xsi:type="dcterms:W3CDTF">2019-06-14T11:20:00Z</dcterms:created>
  <dcterms:modified xsi:type="dcterms:W3CDTF">2019-06-14T11:38:00Z</dcterms:modified>
</cp:coreProperties>
</file>