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4897830"/>
    <w:bookmarkStart w:id="1" w:name="_GoBack"/>
    <w:bookmarkEnd w:id="1"/>
    <w:p w14:paraId="3909C38B" w14:textId="77777777" w:rsidR="0098661D" w:rsidRPr="00FC086C" w:rsidRDefault="0098661D" w:rsidP="0098661D">
      <w:pPr>
        <w:pStyle w:val="datumtevilka"/>
        <w:rPr>
          <w:color w:val="FF0000"/>
        </w:rPr>
      </w:pPr>
      <w:r>
        <w:rPr>
          <w:noProof/>
        </w:rPr>
        <mc:AlternateContent>
          <mc:Choice Requires="wps">
            <w:drawing>
              <wp:anchor distT="360045" distB="540385" distL="0" distR="0" simplePos="0" relativeHeight="251659264" behindDoc="0" locked="0" layoutInCell="1" allowOverlap="0" wp14:anchorId="7D1FF90F" wp14:editId="20B44477">
                <wp:simplePos x="0" y="0"/>
                <wp:positionH relativeFrom="page">
                  <wp:posOffset>1158240</wp:posOffset>
                </wp:positionH>
                <wp:positionV relativeFrom="page">
                  <wp:posOffset>2514600</wp:posOffset>
                </wp:positionV>
                <wp:extent cx="4585335" cy="883920"/>
                <wp:effectExtent l="0" t="0" r="5715" b="11430"/>
                <wp:wrapTopAndBottom/>
                <wp:docPr id="1" name="Polje z besedilom 1"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D286" w14:textId="77777777" w:rsidR="0098661D" w:rsidRPr="006B2F93" w:rsidRDefault="0098661D" w:rsidP="0098661D">
                            <w:pPr>
                              <w:rPr>
                                <w:b/>
                                <w:lang w:val="pt-BR"/>
                              </w:rPr>
                            </w:pPr>
                          </w:p>
                          <w:p w14:paraId="709522F0" w14:textId="77777777" w:rsidR="0054258D" w:rsidRPr="006B2F93" w:rsidRDefault="0054258D" w:rsidP="0098661D">
                            <w:pPr>
                              <w:rPr>
                                <w:b/>
                                <w:lang w:val="pt-BR"/>
                              </w:rPr>
                            </w:pPr>
                            <w:r>
                              <w:rPr>
                                <w:b/>
                                <w:lang w:val="pt-BR"/>
                              </w:rPr>
                              <w:t>VSA MINISTRSTVA</w:t>
                            </w:r>
                          </w:p>
                          <w:p w14:paraId="246A3D3C" w14:textId="77777777" w:rsidR="0098661D" w:rsidRPr="001276AE" w:rsidRDefault="0098661D" w:rsidP="0098661D">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F90F" id="_x0000_t202" coordsize="21600,21600" o:spt="202" path="m,l,21600r21600,l21600,xe">
                <v:stroke joinstyle="miter"/>
                <v:path gradientshapeok="t" o:connecttype="rect"/>
              </v:shapetype>
              <v:shape id="Polje z besedilom 1" o:spid="_x0000_s1026" type="#_x0000_t202" alt="Prostor za vnos naslovnika&#10;" style="position:absolute;margin-left:91.2pt;margin-top:198pt;width:361.05pt;height:69.6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" o:allowoverlap="f" filled="f" stroked="f">
                <v:textbox inset="0,0,0,0">
                  <w:txbxContent>
                    <w:p w14:paraId="362CD286" w14:textId="77777777" w:rsidR="0098661D" w:rsidRPr="006B2F93" w:rsidRDefault="0098661D" w:rsidP="0098661D">
                      <w:pPr>
                        <w:rPr>
                          <w:b/>
                          <w:lang w:val="pt-BR"/>
                        </w:rPr>
                      </w:pPr>
                    </w:p>
                    <w:p w14:paraId="709522F0" w14:textId="77777777" w:rsidR="0054258D" w:rsidRPr="006B2F93" w:rsidRDefault="0054258D" w:rsidP="0098661D">
                      <w:pPr>
                        <w:rPr>
                          <w:b/>
                          <w:lang w:val="pt-BR"/>
                        </w:rPr>
                      </w:pPr>
                      <w:r>
                        <w:rPr>
                          <w:b/>
                          <w:lang w:val="pt-BR"/>
                        </w:rPr>
                        <w:t>VSA MINISTRSTVA</w:t>
                      </w:r>
                    </w:p>
                    <w:p w14:paraId="246A3D3C" w14:textId="77777777" w:rsidR="0098661D" w:rsidRPr="001276AE" w:rsidRDefault="0098661D" w:rsidP="0098661D">
                      <w:pPr>
                        <w:rPr>
                          <w:szCs w:val="20"/>
                        </w:rPr>
                      </w:pPr>
                    </w:p>
                  </w:txbxContent>
                </v:textbox>
                <w10:wrap type="topAndBottom" anchorx="page" anchory="page"/>
              </v:shape>
            </w:pict>
          </mc:Fallback>
        </mc:AlternateContent>
      </w:r>
      <w:r w:rsidRPr="00CA200C">
        <w:t>Številka:</w:t>
      </w:r>
      <w:r w:rsidR="00E24EBD">
        <w:t xml:space="preserve"> 0100-174</w:t>
      </w:r>
      <w:r w:rsidR="00BD29B2">
        <w:t>/2020</w:t>
      </w:r>
      <w:r w:rsidR="00AE3B81">
        <w:t>/12</w:t>
      </w:r>
      <w:r w:rsidRPr="00182E4A">
        <w:tab/>
      </w:r>
    </w:p>
    <w:p w14:paraId="469F7FCA" w14:textId="77777777" w:rsidR="0098661D" w:rsidRPr="00CA200C" w:rsidRDefault="0098661D" w:rsidP="0098661D">
      <w:pPr>
        <w:pStyle w:val="datumtevilka"/>
      </w:pPr>
      <w:r w:rsidRPr="00CA200C">
        <w:t xml:space="preserve">Datum: </w:t>
      </w:r>
      <w:r w:rsidR="00AE3B81">
        <w:t>10</w:t>
      </w:r>
      <w:r w:rsidR="004574E3">
        <w:t>.</w:t>
      </w:r>
      <w:r w:rsidR="00440D40">
        <w:t xml:space="preserve"> </w:t>
      </w:r>
      <w:r w:rsidR="00BE1375">
        <w:t>4</w:t>
      </w:r>
      <w:r w:rsidR="004574E3">
        <w:t>.</w:t>
      </w:r>
      <w:r w:rsidR="00440D40">
        <w:t xml:space="preserve"> </w:t>
      </w:r>
      <w:r w:rsidR="004574E3">
        <w:t>2020</w:t>
      </w:r>
      <w:r w:rsidRPr="00CA200C">
        <w:tab/>
      </w:r>
    </w:p>
    <w:p w14:paraId="6FF64F7B" w14:textId="77777777" w:rsidR="0098661D" w:rsidRPr="00CA200C" w:rsidRDefault="0098661D" w:rsidP="0098661D"/>
    <w:p w14:paraId="57541F7D" w14:textId="77777777" w:rsidR="0098661D" w:rsidRPr="00CA200C" w:rsidRDefault="0098661D" w:rsidP="0098661D"/>
    <w:p w14:paraId="5148D759" w14:textId="77777777" w:rsidR="0098661D" w:rsidRPr="00CA200C" w:rsidRDefault="0098661D" w:rsidP="0098661D">
      <w:pPr>
        <w:ind w:left="1080" w:hanging="1080"/>
        <w:jc w:val="both"/>
        <w:rPr>
          <w:b/>
        </w:rPr>
      </w:pPr>
      <w:r w:rsidRPr="00CA200C">
        <w:rPr>
          <w:b/>
        </w:rPr>
        <w:t>Z</w:t>
      </w:r>
      <w:r>
        <w:rPr>
          <w:b/>
        </w:rPr>
        <w:t>adeva</w:t>
      </w:r>
      <w:r w:rsidRPr="00CA200C">
        <w:rPr>
          <w:b/>
        </w:rPr>
        <w:t>:</w:t>
      </w:r>
      <w:r>
        <w:rPr>
          <w:b/>
        </w:rPr>
        <w:t xml:space="preserve">   </w:t>
      </w:r>
      <w:r w:rsidR="00E0035C">
        <w:rPr>
          <w:b/>
        </w:rPr>
        <w:t xml:space="preserve">Dodatek za rizične razmere </w:t>
      </w:r>
      <w:r w:rsidR="00FA459D">
        <w:rPr>
          <w:b/>
        </w:rPr>
        <w:t>(</w:t>
      </w:r>
      <w:r w:rsidR="00E0035C">
        <w:rPr>
          <w:b/>
        </w:rPr>
        <w:t>epidemija</w:t>
      </w:r>
      <w:r w:rsidR="00FA459D">
        <w:rPr>
          <w:b/>
        </w:rPr>
        <w:t>) – predlog za pripravo usmeritev za posredne uporabnike proračuna</w:t>
      </w:r>
      <w:r w:rsidR="00E0035C">
        <w:rPr>
          <w:b/>
        </w:rPr>
        <w:t xml:space="preserve"> </w:t>
      </w:r>
    </w:p>
    <w:p w14:paraId="727A6279" w14:textId="77777777" w:rsidR="0098661D" w:rsidRPr="00CA200C" w:rsidRDefault="0098661D" w:rsidP="0098661D">
      <w:pPr>
        <w:ind w:left="1080" w:hanging="1080"/>
        <w:jc w:val="both"/>
        <w:rPr>
          <w:b/>
        </w:rPr>
      </w:pPr>
    </w:p>
    <w:p w14:paraId="5C20A06F" w14:textId="77777777" w:rsidR="0098661D" w:rsidRPr="00CA200C" w:rsidRDefault="0098661D" w:rsidP="0098661D">
      <w:pPr>
        <w:autoSpaceDE w:val="0"/>
        <w:autoSpaceDN w:val="0"/>
        <w:adjustRightInd w:val="0"/>
        <w:spacing w:line="260" w:lineRule="exact"/>
        <w:jc w:val="both"/>
        <w:rPr>
          <w:rFonts w:cs="Arial"/>
          <w:szCs w:val="20"/>
        </w:rPr>
      </w:pPr>
    </w:p>
    <w:p w14:paraId="6AB7B27D" w14:textId="77777777" w:rsidR="00E0035C" w:rsidRPr="000E51E3" w:rsidRDefault="00E0035C" w:rsidP="00E0035C">
      <w:pPr>
        <w:rPr>
          <w:rFonts w:cs="Arial"/>
        </w:rPr>
      </w:pPr>
      <w:r w:rsidRPr="000E51E3">
        <w:rPr>
          <w:rFonts w:cs="Arial"/>
        </w:rPr>
        <w:t>Spoštovani,</w:t>
      </w:r>
    </w:p>
    <w:p w14:paraId="24476264" w14:textId="77777777" w:rsidR="00E0035C" w:rsidRDefault="00E0035C" w:rsidP="00E0035C">
      <w:pPr>
        <w:jc w:val="both"/>
        <w:rPr>
          <w:rFonts w:cs="Arial"/>
        </w:rPr>
      </w:pPr>
    </w:p>
    <w:p w14:paraId="61966F44" w14:textId="77777777" w:rsidR="00CC0772" w:rsidRDefault="00440D40" w:rsidP="00CC0772">
      <w:pPr>
        <w:jc w:val="both"/>
        <w:rPr>
          <w:rFonts w:cs="Arial"/>
          <w:szCs w:val="20"/>
        </w:rPr>
      </w:pPr>
      <w:r>
        <w:rPr>
          <w:rFonts w:cs="Arial"/>
        </w:rPr>
        <w:t>n</w:t>
      </w:r>
      <w:r w:rsidR="00CC0772">
        <w:rPr>
          <w:rFonts w:cs="Arial"/>
        </w:rPr>
        <w:t xml:space="preserve">a Ministrstvo za javno upravo je </w:t>
      </w:r>
      <w:r>
        <w:rPr>
          <w:rFonts w:cs="Arial"/>
        </w:rPr>
        <w:t xml:space="preserve">bilo </w:t>
      </w:r>
      <w:r w:rsidR="00CC0772">
        <w:rPr>
          <w:rFonts w:cs="Arial"/>
        </w:rPr>
        <w:t xml:space="preserve">v zvezi z upravičenostjo do izplačila dodatka za delo v rizičnih razmerah (epidemija) iz 11. točke 39. člena KPJS v zadnjem času naslovljenih veliko vprašanj tako s strani proračunskih uporabnikov, kot s strani posameznih javnih uslužbencev. Z dopisom, številka: </w:t>
      </w:r>
      <w:r w:rsidR="00954F28">
        <w:t xml:space="preserve">0100-174/2020/1 </w:t>
      </w:r>
      <w:r w:rsidR="00CC0772">
        <w:rPr>
          <w:rFonts w:cs="Arial"/>
        </w:rPr>
        <w:t>z dne 23.</w:t>
      </w:r>
      <w:r>
        <w:rPr>
          <w:rFonts w:cs="Arial"/>
        </w:rPr>
        <w:t xml:space="preserve"> </w:t>
      </w:r>
      <w:r w:rsidR="00CC0772">
        <w:rPr>
          <w:rFonts w:cs="Arial"/>
        </w:rPr>
        <w:t>3.</w:t>
      </w:r>
      <w:r>
        <w:rPr>
          <w:rFonts w:cs="Arial"/>
        </w:rPr>
        <w:t xml:space="preserve"> </w:t>
      </w:r>
      <w:r w:rsidR="00CC0772">
        <w:rPr>
          <w:rFonts w:cs="Arial"/>
        </w:rPr>
        <w:t>2020</w:t>
      </w:r>
      <w:r w:rsidR="00954F28">
        <w:rPr>
          <w:rFonts w:cs="Arial"/>
        </w:rPr>
        <w:t>,</w:t>
      </w:r>
      <w:r w:rsidR="00CC0772">
        <w:rPr>
          <w:rFonts w:cs="Arial"/>
        </w:rPr>
        <w:t xml:space="preserve"> smo proračunske uporabnike obvestili o tem, kakšno je glede tega stališče ministrstva, pristojnega za sistem plač v javnem sektorju, ki ni pristojno za razlago kolektivne pogodbe in zaradi tega t</w:t>
      </w:r>
      <w:r>
        <w:rPr>
          <w:rFonts w:cs="Arial"/>
        </w:rPr>
        <w:t>is</w:t>
      </w:r>
      <w:r w:rsidR="00CC0772">
        <w:rPr>
          <w:rFonts w:cs="Arial"/>
        </w:rPr>
        <w:t xml:space="preserve">to stališče </w:t>
      </w:r>
      <w:r>
        <w:rPr>
          <w:rFonts w:cs="Arial"/>
        </w:rPr>
        <w:t xml:space="preserve">tudi </w:t>
      </w:r>
      <w:r w:rsidR="00CC0772">
        <w:rPr>
          <w:rFonts w:cs="Arial"/>
        </w:rPr>
        <w:t>n</w:t>
      </w:r>
      <w:r>
        <w:rPr>
          <w:rFonts w:cs="Arial"/>
        </w:rPr>
        <w:t>i</w:t>
      </w:r>
      <w:r w:rsidR="00CC0772">
        <w:rPr>
          <w:rFonts w:cs="Arial"/>
        </w:rPr>
        <w:t xml:space="preserve"> mo</w:t>
      </w:r>
      <w:r>
        <w:rPr>
          <w:rFonts w:cs="Arial"/>
        </w:rPr>
        <w:t>glo</w:t>
      </w:r>
      <w:r w:rsidR="00CC0772">
        <w:rPr>
          <w:rFonts w:cs="Arial"/>
        </w:rPr>
        <w:t xml:space="preserve"> biti zavezujoče. V navedenem dopisu smo posebej opozorili, da je uresničevanje pravice do tega dodatka v pristojnosti posameznih delodajalcev, s tem, da naj do tega dodatka zagotovo ne bi bili upravičeni javni uslužbenci, ki opravljajo delo na domu, tisti, ki pa so do njega upravičeni</w:t>
      </w:r>
      <w:r>
        <w:rPr>
          <w:rFonts w:cs="Arial"/>
        </w:rPr>
        <w:t>,</w:t>
      </w:r>
      <w:r w:rsidR="00CC0772">
        <w:rPr>
          <w:rFonts w:cs="Arial"/>
        </w:rPr>
        <w:t xml:space="preserve"> pa ga lahko prejmejo zgolj za čas, ko</w:t>
      </w:r>
      <w:r w:rsidR="00CC0772" w:rsidRPr="00E0035C">
        <w:rPr>
          <w:rFonts w:cs="Arial"/>
          <w:szCs w:val="20"/>
        </w:rPr>
        <w:t xml:space="preserve"> se naloge dejansko opravljajo s povečano ogroženostjo.</w:t>
      </w:r>
      <w:r w:rsidR="00CC0772">
        <w:rPr>
          <w:rFonts w:cs="Arial"/>
          <w:szCs w:val="20"/>
        </w:rPr>
        <w:t xml:space="preserve"> Ker ministrstvo ni pristojno za razlago kolektivne pogodbe, je dalo pobudo, da razlago sprejme pristojen organ.</w:t>
      </w:r>
    </w:p>
    <w:p w14:paraId="633774D8" w14:textId="77777777" w:rsidR="00CC0772" w:rsidRDefault="00CC0772" w:rsidP="00CC0772">
      <w:pPr>
        <w:jc w:val="both"/>
        <w:rPr>
          <w:rFonts w:cs="Arial"/>
          <w:szCs w:val="20"/>
        </w:rPr>
      </w:pPr>
    </w:p>
    <w:p w14:paraId="618A66F2" w14:textId="77777777" w:rsidR="001A1E85" w:rsidRDefault="001A1E85" w:rsidP="001A1E85">
      <w:pPr>
        <w:jc w:val="both"/>
        <w:rPr>
          <w:rFonts w:cs="Arial"/>
        </w:rPr>
      </w:pPr>
      <w:r>
        <w:rPr>
          <w:rFonts w:cs="Arial"/>
        </w:rPr>
        <w:t>Komisija za razlago Kolektivne pogodbe za javni sektor (KPJS) je sprejela razlago 11. točke 39. člena KPJS v povezavi z drugim odstavkom istega člena te kolektivne pogodbe</w:t>
      </w:r>
      <w:r w:rsidR="00A572A4">
        <w:rPr>
          <w:rFonts w:cs="Arial"/>
        </w:rPr>
        <w:t xml:space="preserve"> (Uradni list RS, št. 48</w:t>
      </w:r>
      <w:r w:rsidR="009B4224">
        <w:rPr>
          <w:rFonts w:cs="Arial"/>
        </w:rPr>
        <w:t>/20</w:t>
      </w:r>
      <w:r w:rsidR="00A572A4">
        <w:rPr>
          <w:rFonts w:cs="Arial"/>
        </w:rPr>
        <w:t>)</w:t>
      </w:r>
      <w:r w:rsidR="00D3160C">
        <w:rPr>
          <w:rFonts w:cs="Arial"/>
        </w:rPr>
        <w:t>.</w:t>
      </w:r>
      <w:r>
        <w:rPr>
          <w:rFonts w:cs="Arial"/>
        </w:rPr>
        <w:t xml:space="preserve"> </w:t>
      </w:r>
      <w:r w:rsidR="00D9661F">
        <w:rPr>
          <w:rFonts w:cs="Arial"/>
        </w:rPr>
        <w:t>Besedilo razlage se glasi</w:t>
      </w:r>
      <w:r>
        <w:rPr>
          <w:rFonts w:cs="Arial"/>
        </w:rPr>
        <w:t>:</w:t>
      </w:r>
    </w:p>
    <w:p w14:paraId="159C4202" w14:textId="77777777" w:rsidR="001A1E85" w:rsidRDefault="001A1E85" w:rsidP="001A1E85">
      <w:pPr>
        <w:jc w:val="both"/>
        <w:rPr>
          <w:rFonts w:cs="Arial"/>
        </w:rPr>
      </w:pPr>
    </w:p>
    <w:p w14:paraId="269D1661" w14:textId="77777777" w:rsidR="00D3160C" w:rsidRPr="00523820" w:rsidRDefault="00D3160C" w:rsidP="00D3160C">
      <w:pPr>
        <w:spacing w:before="120" w:after="120"/>
        <w:jc w:val="both"/>
        <w:rPr>
          <w:rFonts w:cs="Arial"/>
          <w:b/>
          <w:bCs/>
          <w:i/>
          <w:iCs/>
          <w:color w:val="000000"/>
          <w:szCs w:val="20"/>
          <w:shd w:val="clear" w:color="auto" w:fill="FFFFFF"/>
        </w:rPr>
      </w:pPr>
      <w:r w:rsidRPr="00523820">
        <w:rPr>
          <w:rFonts w:cs="Arial"/>
          <w:b/>
          <w:bCs/>
          <w:i/>
          <w:iCs/>
          <w:color w:val="000000"/>
          <w:szCs w:val="20"/>
          <w:shd w:val="clear" w:color="auto" w:fill="FFFFFF"/>
        </w:rPr>
        <w:t>»Javnemu uslužbencu pripada dodatek za delo v rizičnih razmerah v obdobju epidemije, če sta kumulativno izpolnjena pogoja, da je razglašena epidemija</w:t>
      </w:r>
      <w:r w:rsidRPr="00523820">
        <w:rPr>
          <w:rFonts w:cs="Arial"/>
          <w:b/>
          <w:bCs/>
          <w:i/>
          <w:iCs/>
          <w:color w:val="FF0000"/>
          <w:szCs w:val="20"/>
          <w:shd w:val="clear" w:color="auto" w:fill="FFFFFF"/>
        </w:rPr>
        <w:t xml:space="preserve"> </w:t>
      </w:r>
      <w:r w:rsidRPr="00523820">
        <w:rPr>
          <w:rFonts w:cs="Arial"/>
          <w:b/>
          <w:bCs/>
          <w:i/>
          <w:iCs/>
          <w:color w:val="000000"/>
          <w:szCs w:val="20"/>
          <w:shd w:val="clear" w:color="auto" w:fill="FFFFFF"/>
        </w:rPr>
        <w:t>v skladu z Zakonom o nalezljivih boleznih in da javni uslužbenec opravlja delo v nevarnih pogojih. Do dodatka je upravičen le za ure, ko je opravljal delo v nevarnih pogojih.</w:t>
      </w:r>
    </w:p>
    <w:p w14:paraId="73703DEF" w14:textId="77777777" w:rsidR="00D3160C" w:rsidRPr="00523820" w:rsidRDefault="00D3160C" w:rsidP="00D3160C">
      <w:pPr>
        <w:pStyle w:val="odstavek"/>
        <w:spacing w:before="120" w:after="120"/>
        <w:rPr>
          <w:rFonts w:ascii="Arial" w:hAnsi="Arial" w:cs="Arial"/>
          <w:b/>
          <w:bCs/>
          <w:i/>
          <w:iCs/>
          <w:sz w:val="20"/>
          <w:szCs w:val="20"/>
        </w:rPr>
      </w:pPr>
      <w:r w:rsidRPr="00523820">
        <w:rPr>
          <w:rFonts w:ascii="Arial" w:hAnsi="Arial" w:cs="Arial"/>
          <w:b/>
          <w:bCs/>
          <w:i/>
          <w:iCs/>
          <w:sz w:val="20"/>
          <w:szCs w:val="20"/>
        </w:rPr>
        <w:t>Nevarni pogoji so pogoji, ko je ali bi lahko bilo ogroženo zdravje ali življenje javnega uslužbenca zaradi izpostavljenosti možni okužbi z nalezljivo boleznijo, zaradi katere je bila razglašena epidemija.</w:t>
      </w:r>
    </w:p>
    <w:p w14:paraId="3404EA98" w14:textId="77777777" w:rsidR="00D3160C" w:rsidRPr="00523820" w:rsidRDefault="00D3160C" w:rsidP="00D3160C">
      <w:pPr>
        <w:pStyle w:val="odstavek"/>
        <w:spacing w:before="120" w:after="120"/>
        <w:rPr>
          <w:rFonts w:ascii="Arial" w:hAnsi="Arial" w:cs="Arial"/>
          <w:b/>
          <w:bCs/>
          <w:i/>
          <w:iCs/>
          <w:color w:val="000000"/>
          <w:sz w:val="20"/>
          <w:szCs w:val="20"/>
          <w:shd w:val="clear" w:color="auto" w:fill="FFFFFF"/>
        </w:rPr>
      </w:pPr>
      <w:r w:rsidRPr="00523820">
        <w:rPr>
          <w:rFonts w:ascii="Arial" w:hAnsi="Arial" w:cs="Arial"/>
          <w:b/>
          <w:bCs/>
          <w:i/>
          <w:iCs/>
          <w:color w:val="000000"/>
          <w:sz w:val="20"/>
          <w:szCs w:val="20"/>
          <w:shd w:val="clear" w:color="auto" w:fill="FFFFFF"/>
        </w:rPr>
        <w:lastRenderedPageBreak/>
        <w:t>Delodajalec določi dela in naloge, ki se opravljajo v nevarnih pogojih dela, in čas, ko je javni uslužbenec opravljal delo in naloge v nevarnih pogojih dela.</w:t>
      </w:r>
    </w:p>
    <w:p w14:paraId="3BA88AEE" w14:textId="77777777" w:rsidR="00D3160C" w:rsidRPr="00523820" w:rsidRDefault="00D3160C" w:rsidP="00D3160C">
      <w:pPr>
        <w:spacing w:before="120" w:after="120"/>
        <w:jc w:val="both"/>
        <w:rPr>
          <w:rFonts w:cs="Arial"/>
          <w:b/>
          <w:bCs/>
          <w:i/>
          <w:iCs/>
          <w:color w:val="000000"/>
          <w:szCs w:val="20"/>
          <w:shd w:val="clear" w:color="auto" w:fill="FFFFFF"/>
        </w:rPr>
      </w:pPr>
      <w:r w:rsidRPr="00523820">
        <w:rPr>
          <w:rFonts w:cs="Arial"/>
          <w:b/>
          <w:bCs/>
          <w:i/>
          <w:iCs/>
          <w:color w:val="000000"/>
          <w:szCs w:val="20"/>
          <w:shd w:val="clear" w:color="auto" w:fill="FFFFFF"/>
        </w:rPr>
        <w:t>Šteje se, da ne gre za delo v nevarnih pogojih dela, če javni uslužbenec opravlja delo na domu.«</w:t>
      </w:r>
    </w:p>
    <w:p w14:paraId="4BE6B1C3" w14:textId="77777777" w:rsidR="00D9661F" w:rsidRDefault="00D9661F" w:rsidP="00E0035C">
      <w:pPr>
        <w:jc w:val="both"/>
        <w:rPr>
          <w:rFonts w:cs="Arial"/>
          <w:szCs w:val="20"/>
        </w:rPr>
      </w:pPr>
    </w:p>
    <w:p w14:paraId="6C3E75DB" w14:textId="77777777" w:rsidR="00E0035C" w:rsidRPr="000E51E3" w:rsidRDefault="00CC0772" w:rsidP="00E0035C">
      <w:pPr>
        <w:jc w:val="both"/>
        <w:rPr>
          <w:rFonts w:cs="Arial"/>
        </w:rPr>
      </w:pPr>
      <w:r>
        <w:rPr>
          <w:rFonts w:cs="Arial"/>
          <w:szCs w:val="20"/>
        </w:rPr>
        <w:t>I</w:t>
      </w:r>
      <w:r w:rsidR="004E034C">
        <w:rPr>
          <w:rFonts w:cs="Arial"/>
          <w:szCs w:val="20"/>
        </w:rPr>
        <w:t>z zgoraj citirane razlage</w:t>
      </w:r>
      <w:r>
        <w:rPr>
          <w:rFonts w:cs="Arial"/>
          <w:szCs w:val="20"/>
        </w:rPr>
        <w:t xml:space="preserve"> nesporno izhaja, da so od razglasitve epidemije dalje izpolnjeni pogoji za izplačevanje dodatka za rizične razmere in da ga je treba </w:t>
      </w:r>
      <w:r w:rsidRPr="00D947C8">
        <w:rPr>
          <w:rFonts w:cs="Arial"/>
          <w:szCs w:val="20"/>
          <w:u w:val="single"/>
        </w:rPr>
        <w:t>povsod, kjer ni bil izplačan, izplačati za nazaj</w:t>
      </w:r>
      <w:r w:rsidR="00D9661F">
        <w:rPr>
          <w:rFonts w:cs="Arial"/>
          <w:szCs w:val="20"/>
        </w:rPr>
        <w:t>.</w:t>
      </w:r>
      <w:r w:rsidR="004E034C">
        <w:rPr>
          <w:rFonts w:cs="Arial"/>
          <w:szCs w:val="20"/>
        </w:rPr>
        <w:t xml:space="preserve"> </w:t>
      </w:r>
      <w:r>
        <w:rPr>
          <w:rFonts w:cs="Arial"/>
          <w:szCs w:val="20"/>
        </w:rPr>
        <w:t xml:space="preserve">Iz nje pa </w:t>
      </w:r>
      <w:r w:rsidR="004E034C">
        <w:rPr>
          <w:rFonts w:cs="Arial"/>
          <w:szCs w:val="20"/>
        </w:rPr>
        <w:t xml:space="preserve">izhaja </w:t>
      </w:r>
      <w:r>
        <w:rPr>
          <w:rFonts w:cs="Arial"/>
          <w:szCs w:val="20"/>
        </w:rPr>
        <w:t xml:space="preserve">tudi </w:t>
      </w:r>
      <w:r w:rsidR="004E034C">
        <w:rPr>
          <w:rFonts w:cs="Arial"/>
          <w:szCs w:val="20"/>
        </w:rPr>
        <w:t xml:space="preserve"> naslednje: </w:t>
      </w:r>
      <w:r w:rsidR="00E0035C" w:rsidRPr="000E51E3">
        <w:rPr>
          <w:rFonts w:cs="Arial"/>
        </w:rPr>
        <w:t xml:space="preserve"> </w:t>
      </w:r>
    </w:p>
    <w:p w14:paraId="333C419A" w14:textId="77777777" w:rsidR="00E0035C" w:rsidRPr="000E51E3" w:rsidRDefault="00E0035C" w:rsidP="00E0035C">
      <w:pPr>
        <w:jc w:val="both"/>
        <w:rPr>
          <w:rFonts w:cs="Arial"/>
        </w:rPr>
      </w:pPr>
    </w:p>
    <w:p w14:paraId="29AD9247" w14:textId="77777777" w:rsidR="004B3416" w:rsidRDefault="00440D40" w:rsidP="004B3416">
      <w:pPr>
        <w:pStyle w:val="Odstavekseznama"/>
        <w:numPr>
          <w:ilvl w:val="0"/>
          <w:numId w:val="4"/>
        </w:numPr>
        <w:spacing w:after="160" w:line="259" w:lineRule="auto"/>
        <w:jc w:val="both"/>
        <w:rPr>
          <w:rFonts w:ascii="Arial" w:hAnsi="Arial" w:cs="Arial"/>
          <w:sz w:val="20"/>
          <w:szCs w:val="20"/>
        </w:rPr>
      </w:pPr>
      <w:r>
        <w:rPr>
          <w:rFonts w:ascii="Arial" w:hAnsi="Arial" w:cs="Arial"/>
          <w:sz w:val="20"/>
          <w:szCs w:val="20"/>
        </w:rPr>
        <w:t>d</w:t>
      </w:r>
      <w:r w:rsidR="004E034C" w:rsidRPr="004E034C">
        <w:rPr>
          <w:rFonts w:ascii="Arial" w:hAnsi="Arial" w:cs="Arial"/>
          <w:sz w:val="20"/>
          <w:szCs w:val="20"/>
        </w:rPr>
        <w:t xml:space="preserve">o dodatka niso upravičeni vsi javni uslužbenci, ki </w:t>
      </w:r>
      <w:r w:rsidR="00E0035C" w:rsidRPr="004E034C">
        <w:rPr>
          <w:rFonts w:ascii="Arial" w:hAnsi="Arial" w:cs="Arial"/>
          <w:sz w:val="20"/>
          <w:szCs w:val="20"/>
        </w:rPr>
        <w:t xml:space="preserve">v času trajanja epidemije prihajajo na delo, </w:t>
      </w:r>
      <w:r w:rsidR="004E034C" w:rsidRPr="004E034C">
        <w:rPr>
          <w:rFonts w:ascii="Arial" w:hAnsi="Arial" w:cs="Arial"/>
          <w:sz w:val="20"/>
          <w:szCs w:val="20"/>
        </w:rPr>
        <w:t>temveč zgolj tisti, ki delo opravljajo v nevarnih pogojih;</w:t>
      </w:r>
    </w:p>
    <w:p w14:paraId="02D185C3" w14:textId="77777777" w:rsidR="004B3416" w:rsidRDefault="00440D40" w:rsidP="004B3416">
      <w:pPr>
        <w:pStyle w:val="Odstavekseznama"/>
        <w:numPr>
          <w:ilvl w:val="0"/>
          <w:numId w:val="4"/>
        </w:numPr>
        <w:spacing w:after="160" w:line="259" w:lineRule="auto"/>
        <w:jc w:val="both"/>
        <w:rPr>
          <w:rFonts w:ascii="Arial" w:hAnsi="Arial" w:cs="Arial"/>
          <w:sz w:val="20"/>
          <w:szCs w:val="20"/>
        </w:rPr>
      </w:pPr>
      <w:r>
        <w:rPr>
          <w:rFonts w:ascii="Arial" w:hAnsi="Arial" w:cs="Arial"/>
          <w:sz w:val="20"/>
          <w:szCs w:val="20"/>
        </w:rPr>
        <w:t>z</w:t>
      </w:r>
      <w:r w:rsidR="004B3416" w:rsidRPr="004B3416">
        <w:rPr>
          <w:rFonts w:ascii="Arial" w:hAnsi="Arial" w:cs="Arial"/>
          <w:sz w:val="20"/>
          <w:szCs w:val="20"/>
        </w:rPr>
        <w:t>a nevarne pogoje se štejejo</w:t>
      </w:r>
      <w:r w:rsidR="004B3416">
        <w:rPr>
          <w:rFonts w:ascii="Arial" w:hAnsi="Arial" w:cs="Arial"/>
          <w:sz w:val="20"/>
          <w:szCs w:val="20"/>
        </w:rPr>
        <w:t xml:space="preserve"> pogoji, ko je ali bi lahko bilo ogroženo zdravje ali življenje javnega uslužbenca zaradi izpostavljenosti možni okužbi</w:t>
      </w:r>
      <w:r w:rsidR="005B0A67">
        <w:rPr>
          <w:rFonts w:ascii="Arial" w:hAnsi="Arial" w:cs="Arial"/>
          <w:sz w:val="20"/>
          <w:szCs w:val="20"/>
        </w:rPr>
        <w:t>;</w:t>
      </w:r>
    </w:p>
    <w:p w14:paraId="3B0546C2" w14:textId="77777777" w:rsidR="004B3416" w:rsidRDefault="00440D40" w:rsidP="004B3416">
      <w:pPr>
        <w:pStyle w:val="Odstavekseznama"/>
        <w:numPr>
          <w:ilvl w:val="0"/>
          <w:numId w:val="4"/>
        </w:numPr>
        <w:spacing w:after="160" w:line="259" w:lineRule="auto"/>
        <w:jc w:val="both"/>
        <w:rPr>
          <w:rFonts w:ascii="Arial" w:hAnsi="Arial" w:cs="Arial"/>
          <w:sz w:val="20"/>
          <w:szCs w:val="20"/>
        </w:rPr>
      </w:pPr>
      <w:r>
        <w:rPr>
          <w:rFonts w:ascii="Arial" w:hAnsi="Arial" w:cs="Arial"/>
          <w:sz w:val="20"/>
          <w:szCs w:val="20"/>
        </w:rPr>
        <w:t>d</w:t>
      </w:r>
      <w:r w:rsidR="004B3416">
        <w:rPr>
          <w:rFonts w:ascii="Arial" w:hAnsi="Arial" w:cs="Arial"/>
          <w:sz w:val="20"/>
          <w:szCs w:val="20"/>
        </w:rPr>
        <w:t xml:space="preserve">elodajalec je dolžan določiti dela in naloge, ki se zaradi </w:t>
      </w:r>
      <w:r w:rsidR="0069688F">
        <w:rPr>
          <w:rFonts w:ascii="Arial" w:hAnsi="Arial" w:cs="Arial"/>
          <w:sz w:val="20"/>
          <w:szCs w:val="20"/>
        </w:rPr>
        <w:t xml:space="preserve">razglašene epidemije nalezljive bolezni </w:t>
      </w:r>
      <w:r w:rsidR="004B3416">
        <w:rPr>
          <w:rFonts w:ascii="Arial" w:hAnsi="Arial" w:cs="Arial"/>
          <w:sz w:val="20"/>
          <w:szCs w:val="20"/>
        </w:rPr>
        <w:t xml:space="preserve">opravljajo </w:t>
      </w:r>
      <w:r w:rsidR="0069688F">
        <w:rPr>
          <w:rFonts w:ascii="Arial" w:hAnsi="Arial" w:cs="Arial"/>
          <w:sz w:val="20"/>
          <w:szCs w:val="20"/>
        </w:rPr>
        <w:t xml:space="preserve">v </w:t>
      </w:r>
      <w:r w:rsidR="004B3416">
        <w:rPr>
          <w:rFonts w:ascii="Arial" w:hAnsi="Arial" w:cs="Arial"/>
          <w:sz w:val="20"/>
          <w:szCs w:val="20"/>
        </w:rPr>
        <w:t>nevarnih pogojih dela;</w:t>
      </w:r>
    </w:p>
    <w:p w14:paraId="54784DCE" w14:textId="77777777" w:rsidR="004B3416" w:rsidRDefault="00440D40" w:rsidP="004B3416">
      <w:pPr>
        <w:pStyle w:val="Odstavekseznama"/>
        <w:numPr>
          <w:ilvl w:val="0"/>
          <w:numId w:val="4"/>
        </w:numPr>
        <w:spacing w:after="160" w:line="259" w:lineRule="auto"/>
        <w:jc w:val="both"/>
        <w:rPr>
          <w:rFonts w:ascii="Arial" w:hAnsi="Arial" w:cs="Arial"/>
          <w:sz w:val="20"/>
          <w:szCs w:val="20"/>
        </w:rPr>
      </w:pPr>
      <w:r>
        <w:rPr>
          <w:rFonts w:ascii="Arial" w:hAnsi="Arial" w:cs="Arial"/>
          <w:sz w:val="20"/>
          <w:szCs w:val="20"/>
        </w:rPr>
        <w:t>d</w:t>
      </w:r>
      <w:r w:rsidR="004B3416">
        <w:rPr>
          <w:rFonts w:ascii="Arial" w:hAnsi="Arial" w:cs="Arial"/>
          <w:sz w:val="20"/>
          <w:szCs w:val="20"/>
        </w:rPr>
        <w:t>elodajalec je dolžan določiti tudi čas</w:t>
      </w:r>
      <w:r w:rsidR="0069688F">
        <w:rPr>
          <w:rFonts w:ascii="Arial" w:hAnsi="Arial" w:cs="Arial"/>
          <w:sz w:val="20"/>
          <w:szCs w:val="20"/>
        </w:rPr>
        <w:t>,</w:t>
      </w:r>
      <w:r w:rsidR="004B3416">
        <w:rPr>
          <w:rFonts w:ascii="Arial" w:hAnsi="Arial" w:cs="Arial"/>
          <w:sz w:val="20"/>
          <w:szCs w:val="20"/>
        </w:rPr>
        <w:t xml:space="preserve"> ko je javni uslužbenec opravljal delo in naloge v nevarnih pogojih dela.</w:t>
      </w:r>
    </w:p>
    <w:p w14:paraId="264DB3B3" w14:textId="55CCC0EB" w:rsidR="000B40DD" w:rsidRDefault="004B3416" w:rsidP="004B3416">
      <w:pPr>
        <w:spacing w:after="160" w:line="259" w:lineRule="auto"/>
        <w:jc w:val="both"/>
        <w:rPr>
          <w:rFonts w:cs="Arial"/>
          <w:szCs w:val="20"/>
        </w:rPr>
      </w:pPr>
      <w:r>
        <w:rPr>
          <w:rFonts w:cs="Arial"/>
          <w:szCs w:val="20"/>
        </w:rPr>
        <w:t xml:space="preserve">Upoštevaje zgoraj navedeno </w:t>
      </w:r>
      <w:r w:rsidR="0069688F">
        <w:rPr>
          <w:rFonts w:cs="Arial"/>
          <w:szCs w:val="20"/>
        </w:rPr>
        <w:t xml:space="preserve">ter zaradi poenotenega ravnanja proračunskih </w:t>
      </w:r>
      <w:r w:rsidR="003963B6">
        <w:rPr>
          <w:rFonts w:cs="Arial"/>
          <w:szCs w:val="20"/>
        </w:rPr>
        <w:t xml:space="preserve">uporabnikov </w:t>
      </w:r>
      <w:r w:rsidR="0069688F">
        <w:rPr>
          <w:rFonts w:cs="Arial"/>
          <w:szCs w:val="20"/>
        </w:rPr>
        <w:t xml:space="preserve">v okviru posamezne dejavnosti javnega sektorja predlagamo, da ministrstva za proračunske uporabnike iz svoje resorne pristojnosti </w:t>
      </w:r>
      <w:r w:rsidR="0069688F" w:rsidRPr="00FA459D">
        <w:rPr>
          <w:rFonts w:cs="Arial"/>
          <w:szCs w:val="20"/>
        </w:rPr>
        <w:t>pripravijo usmeritve</w:t>
      </w:r>
      <w:r w:rsidR="0069688F">
        <w:rPr>
          <w:rFonts w:cs="Arial"/>
          <w:szCs w:val="20"/>
        </w:rPr>
        <w:t xml:space="preserve"> za določitev del in nalog, ki se opravljajo v nevarnih pogojih dela zaradi epidemije COVID-19. Hkrati predlagamo, da se </w:t>
      </w:r>
      <w:r w:rsidR="00291204">
        <w:rPr>
          <w:rFonts w:cs="Arial"/>
          <w:szCs w:val="20"/>
        </w:rPr>
        <w:t xml:space="preserve">v tej zvezi prouči tudi možnost </w:t>
      </w:r>
      <w:r w:rsidR="00675121">
        <w:rPr>
          <w:rFonts w:cs="Arial"/>
          <w:szCs w:val="20"/>
        </w:rPr>
        <w:t xml:space="preserve">zagotovitve </w:t>
      </w:r>
      <w:r w:rsidR="00291204">
        <w:rPr>
          <w:rFonts w:cs="Arial"/>
          <w:szCs w:val="20"/>
        </w:rPr>
        <w:t xml:space="preserve">enotnega pristopa glede določitve časa, ko je javni uslužbenec </w:t>
      </w:r>
      <w:r w:rsidR="00675121">
        <w:rPr>
          <w:rFonts w:cs="Arial"/>
          <w:szCs w:val="20"/>
        </w:rPr>
        <w:t xml:space="preserve">opravljal dela in naloge v nevarnih pogojih dela, saj tako kot </w:t>
      </w:r>
      <w:r w:rsidR="00873F0A">
        <w:rPr>
          <w:rFonts w:cs="Arial"/>
          <w:szCs w:val="20"/>
        </w:rPr>
        <w:t>obstajajo razlike med dejavnostmi glede nevarnih pogojev dela, lahko obstajajo razlike tudi glede različnega časa opravljanja dela v nevarnih pogojih</w:t>
      </w:r>
      <w:r w:rsidR="003963B6">
        <w:rPr>
          <w:rFonts w:cs="Arial"/>
          <w:szCs w:val="20"/>
        </w:rPr>
        <w:t>. N</w:t>
      </w:r>
      <w:r w:rsidR="00440D40">
        <w:rPr>
          <w:rFonts w:cs="Arial"/>
          <w:szCs w:val="20"/>
        </w:rPr>
        <w:t>a primer</w:t>
      </w:r>
      <w:r w:rsidR="00D9661F">
        <w:rPr>
          <w:rFonts w:cs="Arial"/>
          <w:szCs w:val="20"/>
        </w:rPr>
        <w:t xml:space="preserve">, </w:t>
      </w:r>
      <w:r w:rsidR="003963B6">
        <w:rPr>
          <w:rFonts w:cs="Arial"/>
          <w:szCs w:val="20"/>
        </w:rPr>
        <w:t xml:space="preserve">če predpostavimo, da so javni uslužbenci že zaradi prihoda na delo izpostavljeni določenemu tveganju, to še ne pomeni, da </w:t>
      </w:r>
      <w:r w:rsidR="00D9661F">
        <w:rPr>
          <w:rFonts w:cs="Arial"/>
          <w:szCs w:val="20"/>
        </w:rPr>
        <w:t xml:space="preserve">bi </w:t>
      </w:r>
      <w:r w:rsidR="003963B6">
        <w:rPr>
          <w:rFonts w:cs="Arial"/>
          <w:szCs w:val="20"/>
        </w:rPr>
        <w:t>vsi bili izpostavljeni tveganju celoten delovni čas</w:t>
      </w:r>
      <w:r w:rsidR="00D9661F">
        <w:rPr>
          <w:rFonts w:cs="Arial"/>
          <w:szCs w:val="20"/>
        </w:rPr>
        <w:t>.</w:t>
      </w:r>
      <w:r w:rsidR="003963B6">
        <w:rPr>
          <w:rFonts w:cs="Arial"/>
          <w:szCs w:val="20"/>
        </w:rPr>
        <w:t xml:space="preserve"> Verjetno je realno predpostaviti, da je zdravstveno in negovalno osebje v določenih delih zdravstvenega sistema ter v do</w:t>
      </w:r>
      <w:r w:rsidR="00280F19">
        <w:rPr>
          <w:rFonts w:cs="Arial"/>
          <w:szCs w:val="20"/>
        </w:rPr>
        <w:t>m</w:t>
      </w:r>
      <w:r w:rsidR="003963B6">
        <w:rPr>
          <w:rFonts w:cs="Arial"/>
          <w:szCs w:val="20"/>
        </w:rPr>
        <w:t>ovih</w:t>
      </w:r>
      <w:r w:rsidR="00280F19">
        <w:rPr>
          <w:rFonts w:cs="Arial"/>
          <w:szCs w:val="20"/>
        </w:rPr>
        <w:t xml:space="preserve"> z</w:t>
      </w:r>
      <w:r w:rsidR="003963B6">
        <w:rPr>
          <w:rFonts w:cs="Arial"/>
          <w:szCs w:val="20"/>
        </w:rPr>
        <w:t>a stare</w:t>
      </w:r>
      <w:r w:rsidR="00280F19">
        <w:rPr>
          <w:rFonts w:cs="Arial"/>
          <w:szCs w:val="20"/>
        </w:rPr>
        <w:t>jše, prav tako pa tudi v nekaterih službah, ki jim neposredno pomagajo, kot npr</w:t>
      </w:r>
      <w:r w:rsidR="00D9661F">
        <w:rPr>
          <w:rFonts w:cs="Arial"/>
          <w:szCs w:val="20"/>
        </w:rPr>
        <w:t>.</w:t>
      </w:r>
      <w:r w:rsidR="00280F19">
        <w:rPr>
          <w:rFonts w:cs="Arial"/>
          <w:szCs w:val="20"/>
        </w:rPr>
        <w:t xml:space="preserve"> civilna zaščita, gasilci</w:t>
      </w:r>
      <w:r w:rsidR="00D9661F">
        <w:rPr>
          <w:rFonts w:cs="Arial"/>
          <w:szCs w:val="20"/>
        </w:rPr>
        <w:t xml:space="preserve"> </w:t>
      </w:r>
      <w:r w:rsidR="00280F19">
        <w:rPr>
          <w:rFonts w:cs="Arial"/>
          <w:szCs w:val="20"/>
        </w:rPr>
        <w:t>i</w:t>
      </w:r>
      <w:r w:rsidR="00D9661F">
        <w:rPr>
          <w:rFonts w:cs="Arial"/>
          <w:szCs w:val="20"/>
        </w:rPr>
        <w:t>pd.</w:t>
      </w:r>
      <w:r w:rsidR="00280F19">
        <w:rPr>
          <w:rFonts w:cs="Arial"/>
          <w:szCs w:val="20"/>
        </w:rPr>
        <w:t>,</w:t>
      </w:r>
      <w:r w:rsidR="003963B6">
        <w:rPr>
          <w:rFonts w:cs="Arial"/>
          <w:szCs w:val="20"/>
        </w:rPr>
        <w:t xml:space="preserve"> iz</w:t>
      </w:r>
      <w:r w:rsidR="00280F19">
        <w:rPr>
          <w:rFonts w:cs="Arial"/>
          <w:szCs w:val="20"/>
        </w:rPr>
        <w:t>po</w:t>
      </w:r>
      <w:r w:rsidR="003963B6">
        <w:rPr>
          <w:rFonts w:cs="Arial"/>
          <w:szCs w:val="20"/>
        </w:rPr>
        <w:t>st</w:t>
      </w:r>
      <w:r w:rsidR="00280F19">
        <w:rPr>
          <w:rFonts w:cs="Arial"/>
          <w:szCs w:val="20"/>
        </w:rPr>
        <w:t>a</w:t>
      </w:r>
      <w:r w:rsidR="003963B6">
        <w:rPr>
          <w:rFonts w:cs="Arial"/>
          <w:szCs w:val="20"/>
        </w:rPr>
        <w:t>vljeno tve</w:t>
      </w:r>
      <w:r w:rsidR="00280F19">
        <w:rPr>
          <w:rFonts w:cs="Arial"/>
          <w:szCs w:val="20"/>
        </w:rPr>
        <w:t>g</w:t>
      </w:r>
      <w:r w:rsidR="003963B6">
        <w:rPr>
          <w:rFonts w:cs="Arial"/>
          <w:szCs w:val="20"/>
        </w:rPr>
        <w:t>anju</w:t>
      </w:r>
      <w:r w:rsidR="00280F19">
        <w:rPr>
          <w:rFonts w:cs="Arial"/>
          <w:szCs w:val="20"/>
        </w:rPr>
        <w:t xml:space="preserve"> celoten delovni čas, medtem ko je v nekaterih, zlasti administrativnih delih sistemov, ki pa morajo prav tako opraviti nekatere nujne naloge, delež delovnega časa, ko so izpostavljeni tveganju, bistveno manjši.</w:t>
      </w:r>
      <w:r w:rsidR="003963B6">
        <w:rPr>
          <w:rFonts w:cs="Arial"/>
          <w:szCs w:val="20"/>
        </w:rPr>
        <w:t xml:space="preserve"> </w:t>
      </w:r>
      <w:r w:rsidR="00E733D5">
        <w:rPr>
          <w:rFonts w:cs="Arial"/>
          <w:szCs w:val="20"/>
        </w:rPr>
        <w:t xml:space="preserve">Kot izhaja </w:t>
      </w:r>
      <w:r w:rsidR="00EF3D2A">
        <w:rPr>
          <w:rFonts w:cs="Arial"/>
          <w:szCs w:val="20"/>
        </w:rPr>
        <w:t xml:space="preserve">iz </w:t>
      </w:r>
      <w:r w:rsidR="00E733D5">
        <w:rPr>
          <w:rFonts w:cs="Arial"/>
          <w:szCs w:val="20"/>
        </w:rPr>
        <w:t>veljavne normativne ureditve glede ugotavljanja prisotnosti na delu, je delovni čas javnega uslužbenca treb</w:t>
      </w:r>
      <w:r w:rsidR="00440D40">
        <w:rPr>
          <w:rFonts w:cs="Arial"/>
          <w:szCs w:val="20"/>
        </w:rPr>
        <w:t>a</w:t>
      </w:r>
      <w:r w:rsidR="00E733D5">
        <w:rPr>
          <w:rFonts w:cs="Arial"/>
          <w:szCs w:val="20"/>
        </w:rPr>
        <w:t xml:space="preserve"> evidentirati</w:t>
      </w:r>
      <w:r w:rsidR="000B40DD">
        <w:rPr>
          <w:rFonts w:cs="Arial"/>
          <w:szCs w:val="20"/>
        </w:rPr>
        <w:t xml:space="preserve">, pri čemer </w:t>
      </w:r>
      <w:r w:rsidR="00EF3D2A">
        <w:rPr>
          <w:rFonts w:cs="Arial"/>
          <w:szCs w:val="20"/>
        </w:rPr>
        <w:t xml:space="preserve">pa </w:t>
      </w:r>
      <w:r w:rsidR="00870929">
        <w:rPr>
          <w:rFonts w:cs="Arial"/>
          <w:szCs w:val="20"/>
        </w:rPr>
        <w:t>je</w:t>
      </w:r>
      <w:r w:rsidR="00440D40">
        <w:rPr>
          <w:rFonts w:cs="Arial"/>
          <w:szCs w:val="20"/>
        </w:rPr>
        <w:t>,</w:t>
      </w:r>
      <w:r w:rsidR="00870929">
        <w:rPr>
          <w:rFonts w:cs="Arial"/>
          <w:szCs w:val="20"/>
        </w:rPr>
        <w:t xml:space="preserve"> </w:t>
      </w:r>
      <w:r w:rsidR="005B0A67">
        <w:rPr>
          <w:rFonts w:cs="Arial"/>
          <w:szCs w:val="20"/>
        </w:rPr>
        <w:t xml:space="preserve">upoštevaje aktualno razlago Komisije za razlago KPJS, </w:t>
      </w:r>
      <w:r w:rsidR="000B40DD">
        <w:rPr>
          <w:rFonts w:cs="Arial"/>
          <w:szCs w:val="20"/>
        </w:rPr>
        <w:t>za to, da bi javni uslužbenec lahko prejel dodatek za delo v rizičnih razmerah v okviru evidentiranega delovnega časa</w:t>
      </w:r>
      <w:r w:rsidR="00316C65">
        <w:rPr>
          <w:rFonts w:cs="Arial"/>
          <w:szCs w:val="20"/>
        </w:rPr>
        <w:t>,</w:t>
      </w:r>
      <w:r w:rsidR="000B40DD">
        <w:rPr>
          <w:rFonts w:cs="Arial"/>
          <w:szCs w:val="20"/>
        </w:rPr>
        <w:t xml:space="preserve"> treb</w:t>
      </w:r>
      <w:r w:rsidR="00440D40">
        <w:rPr>
          <w:rFonts w:cs="Arial"/>
          <w:szCs w:val="20"/>
        </w:rPr>
        <w:t>a</w:t>
      </w:r>
      <w:r w:rsidR="000B40DD">
        <w:rPr>
          <w:rFonts w:cs="Arial"/>
          <w:szCs w:val="20"/>
        </w:rPr>
        <w:t xml:space="preserve"> ugotoviti čas, ko je javni uslužbenec delal v nevarnih pogojih.</w:t>
      </w:r>
      <w:r w:rsidR="00870929">
        <w:rPr>
          <w:rFonts w:cs="Arial"/>
          <w:szCs w:val="20"/>
        </w:rPr>
        <w:t xml:space="preserve"> </w:t>
      </w:r>
    </w:p>
    <w:p w14:paraId="0DF3A808" w14:textId="77777777" w:rsidR="004B3416" w:rsidRDefault="006C3713" w:rsidP="004B3416">
      <w:pPr>
        <w:spacing w:after="160" w:line="259" w:lineRule="auto"/>
        <w:jc w:val="both"/>
        <w:rPr>
          <w:rFonts w:cs="Arial"/>
          <w:szCs w:val="20"/>
        </w:rPr>
      </w:pPr>
      <w:r>
        <w:rPr>
          <w:rFonts w:cs="Arial"/>
          <w:szCs w:val="20"/>
        </w:rPr>
        <w:t xml:space="preserve">V zgoraj opisanem kontekstu bi se </w:t>
      </w:r>
      <w:r w:rsidR="009062D0">
        <w:rPr>
          <w:rFonts w:cs="Arial"/>
          <w:szCs w:val="20"/>
        </w:rPr>
        <w:t xml:space="preserve">kot možen pristop za pripravo usmeritev delodajalcem v okviru dejavnosti za posamezna delovna mesta oziroma delovišča lahko </w:t>
      </w:r>
      <w:r w:rsidR="00280F19">
        <w:rPr>
          <w:rFonts w:cs="Arial"/>
          <w:szCs w:val="20"/>
        </w:rPr>
        <w:t xml:space="preserve">namesto evidentiranja delovnega časa, ko je javni uslužbenec opravljal delo v nevarnih pogojih, </w:t>
      </w:r>
      <w:r w:rsidR="009062D0">
        <w:rPr>
          <w:rFonts w:cs="Arial"/>
          <w:szCs w:val="20"/>
        </w:rPr>
        <w:t>uporabil pavšalni odstotek kot delež v okviru evidentiranega delovnega časa, ko javni uslužbenec opravlja delo in naloge v nevarnih pogojih dela.</w:t>
      </w:r>
    </w:p>
    <w:p w14:paraId="5781F1C1" w14:textId="77777777" w:rsidR="00423AF2" w:rsidRDefault="00423AF2" w:rsidP="004B3416">
      <w:pPr>
        <w:spacing w:after="160" w:line="259" w:lineRule="auto"/>
        <w:jc w:val="both"/>
        <w:rPr>
          <w:rFonts w:cs="Arial"/>
          <w:szCs w:val="20"/>
        </w:rPr>
      </w:pPr>
      <w:r>
        <w:rPr>
          <w:rFonts w:cs="Arial"/>
          <w:szCs w:val="20"/>
        </w:rPr>
        <w:t xml:space="preserve">V nadaljevanju </w:t>
      </w:r>
      <w:r w:rsidR="005B0A67">
        <w:rPr>
          <w:rFonts w:cs="Arial"/>
          <w:szCs w:val="20"/>
        </w:rPr>
        <w:t xml:space="preserve">zgolj za ilustracijo navajamo sicer izmišljene primere </w:t>
      </w:r>
      <w:r>
        <w:rPr>
          <w:rFonts w:cs="Arial"/>
          <w:szCs w:val="20"/>
        </w:rPr>
        <w:t>glede določitve časa</w:t>
      </w:r>
      <w:r w:rsidR="009062D0">
        <w:rPr>
          <w:rFonts w:cs="Arial"/>
          <w:szCs w:val="20"/>
        </w:rPr>
        <w:t xml:space="preserve"> v okviru evidentiranega delovnega časa</w:t>
      </w:r>
      <w:r>
        <w:rPr>
          <w:rFonts w:cs="Arial"/>
          <w:szCs w:val="20"/>
        </w:rPr>
        <w:t>, ko je javni uslužbenec opravljal delo in naloge v nevarnih pogojih:</w:t>
      </w:r>
    </w:p>
    <w:p w14:paraId="2F245175" w14:textId="77777777" w:rsidR="00423AF2" w:rsidRDefault="00423AF2" w:rsidP="00423AF2">
      <w:pPr>
        <w:jc w:val="both"/>
      </w:pPr>
    </w:p>
    <w:tbl>
      <w:tblPr>
        <w:tblStyle w:val="Tabelamrea"/>
        <w:tblW w:w="0" w:type="auto"/>
        <w:tblLook w:val="04A0" w:firstRow="1" w:lastRow="0" w:firstColumn="1" w:lastColumn="0" w:noHBand="0" w:noVBand="1"/>
      </w:tblPr>
      <w:tblGrid>
        <w:gridCol w:w="5807"/>
        <w:gridCol w:w="2126"/>
      </w:tblGrid>
      <w:tr w:rsidR="00B5738E" w14:paraId="2FD73650" w14:textId="77777777" w:rsidTr="009062D0">
        <w:tc>
          <w:tcPr>
            <w:tcW w:w="5807" w:type="dxa"/>
          </w:tcPr>
          <w:p w14:paraId="1F55AEE7" w14:textId="77777777" w:rsidR="00B5738E" w:rsidRPr="00B5738E" w:rsidRDefault="00367822" w:rsidP="009062D0">
            <w:pPr>
              <w:jc w:val="center"/>
              <w:rPr>
                <w:b/>
                <w:bCs/>
              </w:rPr>
            </w:pPr>
            <w:r>
              <w:rPr>
                <w:b/>
                <w:bCs/>
              </w:rPr>
              <w:t>Del</w:t>
            </w:r>
            <w:r w:rsidR="00DF6866">
              <w:rPr>
                <w:b/>
                <w:bCs/>
              </w:rPr>
              <w:t>o</w:t>
            </w:r>
            <w:r>
              <w:rPr>
                <w:b/>
                <w:bCs/>
              </w:rPr>
              <w:t xml:space="preserve"> </w:t>
            </w:r>
            <w:r w:rsidR="00491930">
              <w:rPr>
                <w:b/>
                <w:bCs/>
              </w:rPr>
              <w:t xml:space="preserve">in naloge </w:t>
            </w:r>
            <w:r>
              <w:rPr>
                <w:b/>
                <w:bCs/>
              </w:rPr>
              <w:t>v nevarnih pogojih</w:t>
            </w:r>
          </w:p>
        </w:tc>
        <w:tc>
          <w:tcPr>
            <w:tcW w:w="2126" w:type="dxa"/>
          </w:tcPr>
          <w:p w14:paraId="35238CA4" w14:textId="77777777" w:rsidR="00B5738E" w:rsidRPr="00B5738E" w:rsidRDefault="00B5738E" w:rsidP="009062D0">
            <w:pPr>
              <w:jc w:val="center"/>
              <w:rPr>
                <w:b/>
                <w:bCs/>
              </w:rPr>
            </w:pPr>
            <w:r w:rsidRPr="00B5738E">
              <w:rPr>
                <w:b/>
                <w:bCs/>
              </w:rPr>
              <w:t xml:space="preserve">% </w:t>
            </w:r>
            <w:r w:rsidR="009062D0">
              <w:rPr>
                <w:b/>
                <w:bCs/>
              </w:rPr>
              <w:t xml:space="preserve">evidentiranega </w:t>
            </w:r>
            <w:r w:rsidRPr="00B5738E">
              <w:rPr>
                <w:b/>
                <w:bCs/>
              </w:rPr>
              <w:t>delovnega časa</w:t>
            </w:r>
            <w:r w:rsidR="0099698E">
              <w:rPr>
                <w:b/>
                <w:bCs/>
              </w:rPr>
              <w:t xml:space="preserve"> na delovnem mestu</w:t>
            </w:r>
          </w:p>
        </w:tc>
      </w:tr>
      <w:tr w:rsidR="00B5738E" w14:paraId="34EA5F23" w14:textId="77777777" w:rsidTr="009062D0">
        <w:tc>
          <w:tcPr>
            <w:tcW w:w="5807" w:type="dxa"/>
          </w:tcPr>
          <w:p w14:paraId="6E4B6085" w14:textId="77777777" w:rsidR="00B5738E" w:rsidRDefault="00B5738E" w:rsidP="00423AF2">
            <w:pPr>
              <w:jc w:val="both"/>
            </w:pPr>
          </w:p>
        </w:tc>
        <w:tc>
          <w:tcPr>
            <w:tcW w:w="2126" w:type="dxa"/>
          </w:tcPr>
          <w:p w14:paraId="5CC2B6C4" w14:textId="77777777" w:rsidR="00B5738E" w:rsidRDefault="00B5738E" w:rsidP="00423AF2">
            <w:pPr>
              <w:jc w:val="both"/>
            </w:pPr>
          </w:p>
        </w:tc>
      </w:tr>
      <w:tr w:rsidR="00B5738E" w14:paraId="5765A787" w14:textId="77777777" w:rsidTr="009062D0">
        <w:tc>
          <w:tcPr>
            <w:tcW w:w="5807" w:type="dxa"/>
          </w:tcPr>
          <w:p w14:paraId="1E5084B4" w14:textId="77777777" w:rsidR="00B5738E" w:rsidRPr="00DF6866" w:rsidRDefault="00B5738E" w:rsidP="00B5738E">
            <w:pPr>
              <w:pStyle w:val="Odstavekseznama"/>
              <w:numPr>
                <w:ilvl w:val="0"/>
                <w:numId w:val="5"/>
              </w:numPr>
              <w:jc w:val="both"/>
              <w:rPr>
                <w:rFonts w:ascii="Arial" w:eastAsia="Times New Roman" w:hAnsi="Arial" w:cs="Arial"/>
                <w:sz w:val="20"/>
                <w:szCs w:val="20"/>
              </w:rPr>
            </w:pPr>
            <w:r w:rsidRPr="00DF6866">
              <w:rPr>
                <w:rFonts w:ascii="Arial" w:eastAsia="Times New Roman" w:hAnsi="Arial" w:cs="Arial"/>
                <w:sz w:val="20"/>
                <w:szCs w:val="20"/>
              </w:rPr>
              <w:t xml:space="preserve">Neposredno delo z okuženimi osebami, </w:t>
            </w:r>
            <w:r w:rsidR="00F63F33" w:rsidRPr="00DF6866">
              <w:rPr>
                <w:rFonts w:ascii="Arial" w:eastAsia="Times New Roman" w:hAnsi="Arial" w:cs="Arial"/>
                <w:sz w:val="20"/>
                <w:szCs w:val="20"/>
              </w:rPr>
              <w:t xml:space="preserve">potencialno okuženimi sebami, </w:t>
            </w:r>
            <w:r w:rsidRPr="00DF6866">
              <w:rPr>
                <w:rFonts w:ascii="Arial" w:eastAsia="Times New Roman" w:hAnsi="Arial" w:cs="Arial"/>
                <w:sz w:val="20"/>
                <w:szCs w:val="20"/>
              </w:rPr>
              <w:t xml:space="preserve">odkrivanje okuženih oseb in </w:t>
            </w:r>
            <w:r w:rsidRPr="00DF6866">
              <w:rPr>
                <w:rFonts w:ascii="Arial" w:eastAsia="Times New Roman" w:hAnsi="Arial" w:cs="Arial"/>
                <w:sz w:val="20"/>
                <w:szCs w:val="20"/>
              </w:rPr>
              <w:lastRenderedPageBreak/>
              <w:t xml:space="preserve">izvajanje pooblastil za namen zajezitve in omejevanja epidemije </w:t>
            </w:r>
            <w:r w:rsidR="00F63F33" w:rsidRPr="00DF6866">
              <w:rPr>
                <w:rFonts w:ascii="Arial" w:eastAsia="Times New Roman" w:hAnsi="Arial" w:cs="Arial"/>
                <w:sz w:val="20"/>
                <w:szCs w:val="20"/>
              </w:rPr>
              <w:t>v zdravstvenih in socialnovarst</w:t>
            </w:r>
            <w:r w:rsidR="0099698E" w:rsidRPr="00DF6866">
              <w:rPr>
                <w:rFonts w:ascii="Arial" w:eastAsia="Times New Roman" w:hAnsi="Arial" w:cs="Arial"/>
                <w:sz w:val="20"/>
                <w:szCs w:val="20"/>
              </w:rPr>
              <w:t>ven</w:t>
            </w:r>
            <w:r w:rsidR="00F63F33" w:rsidRPr="00DF6866">
              <w:rPr>
                <w:rFonts w:ascii="Arial" w:eastAsia="Times New Roman" w:hAnsi="Arial" w:cs="Arial"/>
                <w:sz w:val="20"/>
                <w:szCs w:val="20"/>
              </w:rPr>
              <w:t>ih zavodih</w:t>
            </w:r>
          </w:p>
        </w:tc>
        <w:tc>
          <w:tcPr>
            <w:tcW w:w="2126" w:type="dxa"/>
          </w:tcPr>
          <w:p w14:paraId="11FFAFB5" w14:textId="77777777" w:rsidR="00B5738E" w:rsidRPr="00DF6866" w:rsidRDefault="00B5738E" w:rsidP="00423AF2">
            <w:pPr>
              <w:jc w:val="both"/>
              <w:rPr>
                <w:rFonts w:cs="Arial"/>
                <w:szCs w:val="20"/>
              </w:rPr>
            </w:pPr>
          </w:p>
          <w:p w14:paraId="19045CB7" w14:textId="77777777" w:rsidR="005250C2" w:rsidRPr="00DF6866" w:rsidRDefault="005250C2" w:rsidP="005250C2">
            <w:pPr>
              <w:jc w:val="center"/>
              <w:rPr>
                <w:rFonts w:cs="Arial"/>
                <w:szCs w:val="20"/>
              </w:rPr>
            </w:pPr>
            <w:r w:rsidRPr="00DF6866">
              <w:rPr>
                <w:rFonts w:cs="Arial"/>
                <w:szCs w:val="20"/>
              </w:rPr>
              <w:t>100</w:t>
            </w:r>
          </w:p>
        </w:tc>
      </w:tr>
      <w:tr w:rsidR="00B5738E" w14:paraId="4DE39C61" w14:textId="77777777" w:rsidTr="009062D0">
        <w:tc>
          <w:tcPr>
            <w:tcW w:w="5807" w:type="dxa"/>
          </w:tcPr>
          <w:p w14:paraId="71D8D815" w14:textId="77777777" w:rsidR="00B5738E" w:rsidRPr="00DF6866" w:rsidRDefault="000823DE" w:rsidP="00B5738E">
            <w:pPr>
              <w:pStyle w:val="Odstavekseznama"/>
              <w:numPr>
                <w:ilvl w:val="0"/>
                <w:numId w:val="5"/>
              </w:numPr>
              <w:jc w:val="both"/>
              <w:rPr>
                <w:rFonts w:ascii="Arial" w:eastAsia="Times New Roman" w:hAnsi="Arial" w:cs="Arial"/>
                <w:sz w:val="20"/>
                <w:szCs w:val="20"/>
              </w:rPr>
            </w:pPr>
            <w:r w:rsidRPr="00DF6866">
              <w:rPr>
                <w:rFonts w:ascii="Arial" w:eastAsia="Times New Roman" w:hAnsi="Arial" w:cs="Arial"/>
                <w:sz w:val="20"/>
                <w:szCs w:val="20"/>
              </w:rPr>
              <w:t>Neposredno delo z uporabniki storitev (pacienti, varovanci, strankami,</w:t>
            </w:r>
            <w:r>
              <w:rPr>
                <w:rFonts w:ascii="Arial" w:eastAsia="Times New Roman" w:hAnsi="Arial" w:cs="Arial"/>
                <w:sz w:val="20"/>
                <w:szCs w:val="20"/>
              </w:rPr>
              <w:t xml:space="preserve"> …</w:t>
            </w:r>
            <w:r w:rsidRPr="00DF6866">
              <w:rPr>
                <w:rFonts w:ascii="Arial" w:eastAsia="Times New Roman" w:hAnsi="Arial" w:cs="Arial"/>
                <w:sz w:val="20"/>
                <w:szCs w:val="20"/>
              </w:rPr>
              <w:t xml:space="preserve">) brez suma okužbe </w:t>
            </w:r>
          </w:p>
        </w:tc>
        <w:tc>
          <w:tcPr>
            <w:tcW w:w="2126" w:type="dxa"/>
          </w:tcPr>
          <w:p w14:paraId="26E68901" w14:textId="77777777" w:rsidR="009062D0" w:rsidRPr="00DF6866" w:rsidRDefault="009062D0" w:rsidP="009062D0">
            <w:pPr>
              <w:jc w:val="center"/>
              <w:rPr>
                <w:rFonts w:cs="Arial"/>
                <w:szCs w:val="20"/>
              </w:rPr>
            </w:pPr>
          </w:p>
          <w:p w14:paraId="7522AA13" w14:textId="77777777" w:rsidR="00B5738E" w:rsidRPr="00DF6866" w:rsidRDefault="000823DE" w:rsidP="009062D0">
            <w:pPr>
              <w:jc w:val="center"/>
              <w:rPr>
                <w:rFonts w:cs="Arial"/>
                <w:szCs w:val="20"/>
              </w:rPr>
            </w:pPr>
            <w:r>
              <w:rPr>
                <w:rFonts w:cs="Arial"/>
                <w:szCs w:val="20"/>
              </w:rPr>
              <w:t>75</w:t>
            </w:r>
          </w:p>
        </w:tc>
      </w:tr>
      <w:tr w:rsidR="00FA459D" w14:paraId="001EAE94" w14:textId="77777777" w:rsidTr="009062D0">
        <w:tc>
          <w:tcPr>
            <w:tcW w:w="5807" w:type="dxa"/>
          </w:tcPr>
          <w:p w14:paraId="2FF30A48" w14:textId="77777777" w:rsidR="00FA459D" w:rsidRPr="00DF6866" w:rsidRDefault="00FA459D" w:rsidP="009062D0">
            <w:pPr>
              <w:pStyle w:val="Odstavekseznama"/>
              <w:numPr>
                <w:ilvl w:val="0"/>
                <w:numId w:val="5"/>
              </w:numPr>
              <w:jc w:val="both"/>
              <w:rPr>
                <w:rFonts w:ascii="Arial" w:eastAsia="Times New Roman" w:hAnsi="Arial" w:cs="Arial"/>
                <w:sz w:val="20"/>
                <w:szCs w:val="20"/>
              </w:rPr>
            </w:pPr>
            <w:r>
              <w:rPr>
                <w:rFonts w:ascii="Arial" w:eastAsia="Times New Roman" w:hAnsi="Arial" w:cs="Arial"/>
                <w:sz w:val="20"/>
                <w:szCs w:val="20"/>
              </w:rPr>
              <w:t>Delo na terenu</w:t>
            </w:r>
          </w:p>
        </w:tc>
        <w:tc>
          <w:tcPr>
            <w:tcW w:w="2126" w:type="dxa"/>
          </w:tcPr>
          <w:p w14:paraId="19DE4C38" w14:textId="77777777" w:rsidR="00FA459D" w:rsidRDefault="00FA459D" w:rsidP="009062D0">
            <w:pPr>
              <w:jc w:val="center"/>
              <w:rPr>
                <w:rFonts w:cs="Arial"/>
                <w:szCs w:val="20"/>
              </w:rPr>
            </w:pPr>
            <w:r>
              <w:rPr>
                <w:rFonts w:cs="Arial"/>
                <w:szCs w:val="20"/>
              </w:rPr>
              <w:t>75</w:t>
            </w:r>
          </w:p>
        </w:tc>
      </w:tr>
      <w:tr w:rsidR="00B5738E" w14:paraId="7A7AEEE4" w14:textId="77777777" w:rsidTr="009062D0">
        <w:tc>
          <w:tcPr>
            <w:tcW w:w="5807" w:type="dxa"/>
          </w:tcPr>
          <w:p w14:paraId="341C1A04" w14:textId="77777777" w:rsidR="00B5738E" w:rsidRPr="00DF6866" w:rsidRDefault="000823DE" w:rsidP="009062D0">
            <w:pPr>
              <w:pStyle w:val="Odstavekseznama"/>
              <w:numPr>
                <w:ilvl w:val="0"/>
                <w:numId w:val="5"/>
              </w:numPr>
              <w:jc w:val="both"/>
              <w:rPr>
                <w:rFonts w:ascii="Arial" w:eastAsia="Times New Roman" w:hAnsi="Arial" w:cs="Arial"/>
                <w:sz w:val="20"/>
                <w:szCs w:val="20"/>
              </w:rPr>
            </w:pPr>
            <w:r w:rsidRPr="00DF6866">
              <w:rPr>
                <w:rFonts w:ascii="Arial" w:eastAsia="Times New Roman" w:hAnsi="Arial" w:cs="Arial"/>
                <w:sz w:val="20"/>
                <w:szCs w:val="20"/>
              </w:rPr>
              <w:t>Vzdrževanje in čiščenje opreme in prostorov v dejavnostih s povečanim tveganjem</w:t>
            </w:r>
            <w:r>
              <w:rPr>
                <w:rFonts w:ascii="Arial" w:eastAsia="Times New Roman" w:hAnsi="Arial" w:cs="Arial"/>
                <w:sz w:val="20"/>
                <w:szCs w:val="20"/>
              </w:rPr>
              <w:t xml:space="preserve"> </w:t>
            </w:r>
            <w:r w:rsidRPr="00DF6866">
              <w:rPr>
                <w:rFonts w:ascii="Arial" w:eastAsia="Times New Roman" w:hAnsi="Arial" w:cs="Arial"/>
                <w:sz w:val="20"/>
                <w:szCs w:val="20"/>
              </w:rPr>
              <w:t xml:space="preserve">zaradi neposrednega stika z okuženimi osebami   </w:t>
            </w:r>
          </w:p>
        </w:tc>
        <w:tc>
          <w:tcPr>
            <w:tcW w:w="2126" w:type="dxa"/>
          </w:tcPr>
          <w:p w14:paraId="351ED26A" w14:textId="77777777" w:rsidR="00B5738E" w:rsidRPr="00DF6866" w:rsidRDefault="000823DE" w:rsidP="009062D0">
            <w:pPr>
              <w:jc w:val="center"/>
              <w:rPr>
                <w:rFonts w:cs="Arial"/>
                <w:szCs w:val="20"/>
              </w:rPr>
            </w:pPr>
            <w:r>
              <w:rPr>
                <w:rFonts w:cs="Arial"/>
                <w:szCs w:val="20"/>
              </w:rPr>
              <w:t>100</w:t>
            </w:r>
          </w:p>
        </w:tc>
      </w:tr>
      <w:tr w:rsidR="00B5738E" w14:paraId="3699B3BE" w14:textId="77777777" w:rsidTr="009062D0">
        <w:tc>
          <w:tcPr>
            <w:tcW w:w="5807" w:type="dxa"/>
          </w:tcPr>
          <w:p w14:paraId="592B9E7B" w14:textId="77777777" w:rsidR="00B5738E" w:rsidRPr="00DF6866" w:rsidRDefault="000823DE" w:rsidP="005B0A67">
            <w:pPr>
              <w:pStyle w:val="Odstavekseznama"/>
              <w:numPr>
                <w:ilvl w:val="0"/>
                <w:numId w:val="5"/>
              </w:numPr>
              <w:jc w:val="both"/>
              <w:rPr>
                <w:rFonts w:ascii="Arial" w:eastAsia="Times New Roman" w:hAnsi="Arial" w:cs="Arial"/>
                <w:sz w:val="20"/>
                <w:szCs w:val="20"/>
              </w:rPr>
            </w:pPr>
            <w:r>
              <w:rPr>
                <w:rFonts w:ascii="Arial" w:eastAsia="Times New Roman" w:hAnsi="Arial" w:cs="Arial"/>
                <w:sz w:val="20"/>
                <w:szCs w:val="20"/>
              </w:rPr>
              <w:t>Drugo v</w:t>
            </w:r>
            <w:r w:rsidRPr="00DF6866">
              <w:rPr>
                <w:rFonts w:ascii="Arial" w:eastAsia="Times New Roman" w:hAnsi="Arial" w:cs="Arial"/>
                <w:sz w:val="20"/>
                <w:szCs w:val="20"/>
              </w:rPr>
              <w:t xml:space="preserve">zdrževanje in čiščenje opreme </w:t>
            </w:r>
            <w:r>
              <w:rPr>
                <w:rFonts w:ascii="Arial" w:eastAsia="Times New Roman" w:hAnsi="Arial" w:cs="Arial"/>
                <w:sz w:val="20"/>
                <w:szCs w:val="20"/>
              </w:rPr>
              <w:t>ter</w:t>
            </w:r>
            <w:r w:rsidRPr="00DF6866">
              <w:rPr>
                <w:rFonts w:ascii="Arial" w:eastAsia="Times New Roman" w:hAnsi="Arial" w:cs="Arial"/>
                <w:sz w:val="20"/>
                <w:szCs w:val="20"/>
              </w:rPr>
              <w:t xml:space="preserve"> prostorov </w:t>
            </w:r>
          </w:p>
        </w:tc>
        <w:tc>
          <w:tcPr>
            <w:tcW w:w="2126" w:type="dxa"/>
          </w:tcPr>
          <w:p w14:paraId="796BC60C" w14:textId="77777777" w:rsidR="00B5738E" w:rsidRPr="00DF6866" w:rsidRDefault="00D43430" w:rsidP="005B0A67">
            <w:pPr>
              <w:jc w:val="center"/>
              <w:rPr>
                <w:rFonts w:cs="Arial"/>
                <w:szCs w:val="20"/>
              </w:rPr>
            </w:pPr>
            <w:r>
              <w:rPr>
                <w:rFonts w:cs="Arial"/>
                <w:szCs w:val="20"/>
              </w:rPr>
              <w:t>75</w:t>
            </w:r>
          </w:p>
        </w:tc>
      </w:tr>
      <w:tr w:rsidR="001F41E7" w14:paraId="597DDDF6" w14:textId="77777777" w:rsidTr="009062D0">
        <w:tc>
          <w:tcPr>
            <w:tcW w:w="5807" w:type="dxa"/>
          </w:tcPr>
          <w:p w14:paraId="419163C1" w14:textId="77777777" w:rsidR="001F41E7" w:rsidRPr="00DF6866" w:rsidDel="00F63F33" w:rsidRDefault="001F41E7" w:rsidP="005B0A67">
            <w:pPr>
              <w:pStyle w:val="Odstavekseznama"/>
              <w:numPr>
                <w:ilvl w:val="0"/>
                <w:numId w:val="5"/>
              </w:numPr>
              <w:jc w:val="both"/>
              <w:rPr>
                <w:rFonts w:ascii="Arial" w:eastAsia="Times New Roman" w:hAnsi="Arial" w:cs="Arial"/>
                <w:sz w:val="20"/>
                <w:szCs w:val="20"/>
              </w:rPr>
            </w:pPr>
          </w:p>
        </w:tc>
        <w:tc>
          <w:tcPr>
            <w:tcW w:w="2126" w:type="dxa"/>
          </w:tcPr>
          <w:p w14:paraId="01ACB3E4" w14:textId="77777777" w:rsidR="001F41E7" w:rsidRPr="00DF6866" w:rsidRDefault="001F41E7" w:rsidP="005B0A67">
            <w:pPr>
              <w:jc w:val="center"/>
              <w:rPr>
                <w:rFonts w:cs="Arial"/>
                <w:szCs w:val="20"/>
              </w:rPr>
            </w:pPr>
          </w:p>
        </w:tc>
      </w:tr>
      <w:tr w:rsidR="001F41E7" w14:paraId="584D6A8C" w14:textId="77777777" w:rsidTr="009062D0">
        <w:tc>
          <w:tcPr>
            <w:tcW w:w="5807" w:type="dxa"/>
          </w:tcPr>
          <w:p w14:paraId="4CB8FFAF" w14:textId="77777777" w:rsidR="001F41E7" w:rsidRPr="00DF6866" w:rsidDel="00F63F33" w:rsidRDefault="001F41E7" w:rsidP="005B0A67">
            <w:pPr>
              <w:pStyle w:val="Odstavekseznama"/>
              <w:numPr>
                <w:ilvl w:val="0"/>
                <w:numId w:val="5"/>
              </w:numPr>
              <w:jc w:val="both"/>
              <w:rPr>
                <w:rFonts w:ascii="Arial" w:eastAsia="Times New Roman" w:hAnsi="Arial" w:cs="Arial"/>
                <w:sz w:val="20"/>
                <w:szCs w:val="20"/>
              </w:rPr>
            </w:pPr>
          </w:p>
        </w:tc>
        <w:tc>
          <w:tcPr>
            <w:tcW w:w="2126" w:type="dxa"/>
          </w:tcPr>
          <w:p w14:paraId="7035BAD5" w14:textId="77777777" w:rsidR="001F41E7" w:rsidRPr="00DF6866" w:rsidRDefault="001F41E7" w:rsidP="005B0A67">
            <w:pPr>
              <w:jc w:val="center"/>
              <w:rPr>
                <w:rFonts w:cs="Arial"/>
                <w:szCs w:val="20"/>
              </w:rPr>
            </w:pPr>
          </w:p>
        </w:tc>
      </w:tr>
      <w:tr w:rsidR="00FA459D" w14:paraId="402AEDE6" w14:textId="77777777" w:rsidTr="009062D0">
        <w:tc>
          <w:tcPr>
            <w:tcW w:w="5807" w:type="dxa"/>
          </w:tcPr>
          <w:p w14:paraId="2CFD6FBA" w14:textId="77777777" w:rsidR="00FA459D" w:rsidRPr="00DF6866" w:rsidDel="00F63F33" w:rsidRDefault="00FA459D" w:rsidP="005B0A67">
            <w:pPr>
              <w:pStyle w:val="Odstavekseznama"/>
              <w:numPr>
                <w:ilvl w:val="0"/>
                <w:numId w:val="5"/>
              </w:numPr>
              <w:jc w:val="both"/>
              <w:rPr>
                <w:rFonts w:ascii="Arial" w:eastAsia="Times New Roman" w:hAnsi="Arial" w:cs="Arial"/>
                <w:sz w:val="20"/>
                <w:szCs w:val="20"/>
              </w:rPr>
            </w:pPr>
          </w:p>
        </w:tc>
        <w:tc>
          <w:tcPr>
            <w:tcW w:w="2126" w:type="dxa"/>
          </w:tcPr>
          <w:p w14:paraId="11B3F782" w14:textId="77777777" w:rsidR="00FA459D" w:rsidRPr="00DF6866" w:rsidRDefault="00FA459D" w:rsidP="005B0A67">
            <w:pPr>
              <w:jc w:val="center"/>
              <w:rPr>
                <w:rFonts w:cs="Arial"/>
                <w:szCs w:val="20"/>
              </w:rPr>
            </w:pPr>
          </w:p>
        </w:tc>
      </w:tr>
      <w:tr w:rsidR="00FA459D" w14:paraId="65A5F778" w14:textId="77777777" w:rsidTr="009062D0">
        <w:tc>
          <w:tcPr>
            <w:tcW w:w="5807" w:type="dxa"/>
          </w:tcPr>
          <w:p w14:paraId="49F568D2" w14:textId="77777777" w:rsidR="00FA459D" w:rsidRPr="00DF6866" w:rsidDel="00F63F33" w:rsidRDefault="00FA459D" w:rsidP="005B0A67">
            <w:pPr>
              <w:pStyle w:val="Odstavekseznama"/>
              <w:numPr>
                <w:ilvl w:val="0"/>
                <w:numId w:val="5"/>
              </w:numPr>
              <w:jc w:val="both"/>
              <w:rPr>
                <w:rFonts w:ascii="Arial" w:eastAsia="Times New Roman" w:hAnsi="Arial" w:cs="Arial"/>
                <w:sz w:val="20"/>
                <w:szCs w:val="20"/>
              </w:rPr>
            </w:pPr>
          </w:p>
        </w:tc>
        <w:tc>
          <w:tcPr>
            <w:tcW w:w="2126" w:type="dxa"/>
          </w:tcPr>
          <w:p w14:paraId="66C31914" w14:textId="77777777" w:rsidR="00FA459D" w:rsidRPr="00DF6866" w:rsidRDefault="00FA459D" w:rsidP="005B0A67">
            <w:pPr>
              <w:jc w:val="center"/>
              <w:rPr>
                <w:rFonts w:cs="Arial"/>
                <w:szCs w:val="20"/>
              </w:rPr>
            </w:pPr>
          </w:p>
        </w:tc>
      </w:tr>
      <w:tr w:rsidR="00FA459D" w14:paraId="14F4237A" w14:textId="77777777" w:rsidTr="009062D0">
        <w:tc>
          <w:tcPr>
            <w:tcW w:w="5807" w:type="dxa"/>
          </w:tcPr>
          <w:p w14:paraId="2B13A351" w14:textId="77777777" w:rsidR="00FA459D" w:rsidRPr="00DF6866" w:rsidDel="00F63F33" w:rsidRDefault="00FA459D" w:rsidP="005B0A67">
            <w:pPr>
              <w:pStyle w:val="Odstavekseznama"/>
              <w:numPr>
                <w:ilvl w:val="0"/>
                <w:numId w:val="5"/>
              </w:numPr>
              <w:jc w:val="both"/>
              <w:rPr>
                <w:rFonts w:ascii="Arial" w:eastAsia="Times New Roman" w:hAnsi="Arial" w:cs="Arial"/>
                <w:sz w:val="20"/>
                <w:szCs w:val="20"/>
              </w:rPr>
            </w:pPr>
            <w:r w:rsidRPr="00FA459D">
              <w:rPr>
                <w:rFonts w:ascii="Arial" w:eastAsia="Times New Roman" w:hAnsi="Arial" w:cs="Arial"/>
                <w:sz w:val="20"/>
                <w:szCs w:val="20"/>
              </w:rPr>
              <w:t>Neposredno delo s poštnimi pošiljkami  v papirnati obliki (npr. glavna, sprejemna ter odpremna pisarna in tajništva)</w:t>
            </w:r>
          </w:p>
        </w:tc>
        <w:tc>
          <w:tcPr>
            <w:tcW w:w="2126" w:type="dxa"/>
          </w:tcPr>
          <w:p w14:paraId="2B6D2368" w14:textId="77777777" w:rsidR="00FA459D" w:rsidRPr="00DF6866" w:rsidRDefault="00FA459D" w:rsidP="005B0A67">
            <w:pPr>
              <w:jc w:val="center"/>
              <w:rPr>
                <w:rFonts w:cs="Arial"/>
                <w:szCs w:val="20"/>
              </w:rPr>
            </w:pPr>
            <w:r>
              <w:rPr>
                <w:rFonts w:cs="Arial"/>
                <w:szCs w:val="20"/>
              </w:rPr>
              <w:t>40</w:t>
            </w:r>
          </w:p>
        </w:tc>
      </w:tr>
      <w:tr w:rsidR="001F41E7" w14:paraId="3BA60C44" w14:textId="77777777" w:rsidTr="009062D0">
        <w:tc>
          <w:tcPr>
            <w:tcW w:w="5807" w:type="dxa"/>
          </w:tcPr>
          <w:p w14:paraId="7501B8DD" w14:textId="77777777" w:rsidR="001F41E7" w:rsidRPr="00DF6866" w:rsidDel="00F63F33" w:rsidRDefault="0099698E" w:rsidP="005B0A67">
            <w:pPr>
              <w:pStyle w:val="Odstavekseznama"/>
              <w:numPr>
                <w:ilvl w:val="0"/>
                <w:numId w:val="5"/>
              </w:numPr>
              <w:jc w:val="both"/>
              <w:rPr>
                <w:rFonts w:ascii="Arial" w:eastAsia="Times New Roman" w:hAnsi="Arial" w:cs="Arial"/>
                <w:sz w:val="20"/>
                <w:szCs w:val="20"/>
              </w:rPr>
            </w:pPr>
            <w:r w:rsidRPr="00DF6866">
              <w:rPr>
                <w:rFonts w:ascii="Arial" w:eastAsia="Times New Roman" w:hAnsi="Arial" w:cs="Arial"/>
                <w:sz w:val="20"/>
                <w:szCs w:val="20"/>
              </w:rPr>
              <w:t>Strokovno in a</w:t>
            </w:r>
            <w:r w:rsidR="001F41E7" w:rsidRPr="00DF6866">
              <w:rPr>
                <w:rFonts w:ascii="Arial" w:eastAsia="Times New Roman" w:hAnsi="Arial" w:cs="Arial"/>
                <w:sz w:val="20"/>
                <w:szCs w:val="20"/>
              </w:rPr>
              <w:t xml:space="preserve">dministrativno delo </w:t>
            </w:r>
            <w:r w:rsidRPr="00DF6866">
              <w:rPr>
                <w:rFonts w:ascii="Arial" w:eastAsia="Times New Roman" w:hAnsi="Arial" w:cs="Arial"/>
                <w:sz w:val="20"/>
                <w:szCs w:val="20"/>
              </w:rPr>
              <w:t xml:space="preserve">v pisarniških prostorih </w:t>
            </w:r>
            <w:r w:rsidR="001F41E7" w:rsidRPr="00DF6866">
              <w:rPr>
                <w:rFonts w:ascii="Arial" w:eastAsia="Times New Roman" w:hAnsi="Arial" w:cs="Arial"/>
                <w:sz w:val="20"/>
                <w:szCs w:val="20"/>
              </w:rPr>
              <w:t>brez stika s strankami</w:t>
            </w:r>
          </w:p>
        </w:tc>
        <w:tc>
          <w:tcPr>
            <w:tcW w:w="2126" w:type="dxa"/>
          </w:tcPr>
          <w:p w14:paraId="5E1DE34E" w14:textId="77777777" w:rsidR="001F41E7" w:rsidRPr="00DF6866" w:rsidRDefault="001F41E7" w:rsidP="005B0A67">
            <w:pPr>
              <w:jc w:val="center"/>
              <w:rPr>
                <w:rFonts w:cs="Arial"/>
                <w:szCs w:val="20"/>
              </w:rPr>
            </w:pPr>
            <w:r w:rsidRPr="00DF6866">
              <w:rPr>
                <w:rFonts w:cs="Arial"/>
                <w:szCs w:val="20"/>
              </w:rPr>
              <w:t>20</w:t>
            </w:r>
          </w:p>
        </w:tc>
      </w:tr>
    </w:tbl>
    <w:p w14:paraId="6C3159E0" w14:textId="77777777" w:rsidR="00423AF2" w:rsidRDefault="00423AF2" w:rsidP="00423AF2">
      <w:pPr>
        <w:jc w:val="both"/>
      </w:pPr>
    </w:p>
    <w:p w14:paraId="3C51EA06" w14:textId="77777777" w:rsidR="00FA459D" w:rsidRDefault="00FA459D" w:rsidP="004B3416">
      <w:pPr>
        <w:spacing w:after="160" w:line="259" w:lineRule="auto"/>
        <w:jc w:val="both"/>
        <w:rPr>
          <w:rFonts w:cs="Arial"/>
          <w:szCs w:val="20"/>
        </w:rPr>
      </w:pPr>
      <w:r>
        <w:rPr>
          <w:rFonts w:cs="Arial"/>
          <w:szCs w:val="20"/>
        </w:rPr>
        <w:t xml:space="preserve">Zgoraj opisano se lahko uporabi kot pripomoček za poenostavitev in zagotovitev enotnega pristopa k uresničevanju pravice do dodatka za delo v rizičnih razmerah, pri čemer pa bi lahko delodajalci uporabili </w:t>
      </w:r>
      <w:r w:rsidR="000747CA">
        <w:rPr>
          <w:rFonts w:cs="Arial"/>
          <w:szCs w:val="20"/>
        </w:rPr>
        <w:t xml:space="preserve">tudi </w:t>
      </w:r>
      <w:r>
        <w:rPr>
          <w:rFonts w:cs="Arial"/>
          <w:szCs w:val="20"/>
        </w:rPr>
        <w:t xml:space="preserve">drugačen pristop oziroma upoštevali odstope od takšnega pristopa v primerih, ko se izkaže, da je posamezni javni uslužbenec dejansko opravljal delo in naloge v </w:t>
      </w:r>
      <w:r w:rsidR="00BB4D27">
        <w:rPr>
          <w:rFonts w:cs="Arial"/>
          <w:szCs w:val="20"/>
        </w:rPr>
        <w:t xml:space="preserve">nevarnih pogojih dela v </w:t>
      </w:r>
      <w:r>
        <w:rPr>
          <w:rFonts w:cs="Arial"/>
          <w:szCs w:val="20"/>
        </w:rPr>
        <w:t xml:space="preserve">drugačnem deležu časa.  </w:t>
      </w:r>
    </w:p>
    <w:p w14:paraId="2D8BC791" w14:textId="77777777" w:rsidR="001922A3" w:rsidRPr="00513D70" w:rsidRDefault="00380BB7" w:rsidP="004B3416">
      <w:pPr>
        <w:spacing w:after="160" w:line="259" w:lineRule="auto"/>
        <w:jc w:val="both"/>
        <w:rPr>
          <w:rFonts w:cs="Arial"/>
          <w:color w:val="FF0000"/>
          <w:szCs w:val="20"/>
        </w:rPr>
      </w:pPr>
      <w:r>
        <w:rPr>
          <w:rFonts w:cs="Arial"/>
          <w:szCs w:val="20"/>
        </w:rPr>
        <w:t>Zaradi časovne stiske</w:t>
      </w:r>
      <w:r w:rsidR="00597766">
        <w:rPr>
          <w:rFonts w:cs="Arial"/>
          <w:szCs w:val="20"/>
        </w:rPr>
        <w:t>,</w:t>
      </w:r>
      <w:r>
        <w:rPr>
          <w:rFonts w:cs="Arial"/>
          <w:szCs w:val="20"/>
        </w:rPr>
        <w:t xml:space="preserve"> povezane z vnosom podatkov v informacijske sisteme za obračun in izplačilo plač</w:t>
      </w:r>
      <w:r w:rsidR="00440D40">
        <w:rPr>
          <w:rFonts w:cs="Arial"/>
          <w:szCs w:val="20"/>
        </w:rPr>
        <w:t>,</w:t>
      </w:r>
      <w:r>
        <w:rPr>
          <w:rFonts w:cs="Arial"/>
          <w:szCs w:val="20"/>
        </w:rPr>
        <w:t xml:space="preserve"> ter glede na nesporen namen, da se javnim uslužbencem, ki so upravičeni do tega dodatka</w:t>
      </w:r>
      <w:r w:rsidR="00597766">
        <w:rPr>
          <w:rFonts w:cs="Arial"/>
          <w:szCs w:val="20"/>
        </w:rPr>
        <w:t>,</w:t>
      </w:r>
      <w:r>
        <w:rPr>
          <w:rFonts w:cs="Arial"/>
          <w:szCs w:val="20"/>
        </w:rPr>
        <w:t xml:space="preserve"> ta tudi čim prej izplača </w:t>
      </w:r>
      <w:r w:rsidR="00597766">
        <w:rPr>
          <w:rFonts w:cs="Arial"/>
          <w:szCs w:val="20"/>
        </w:rPr>
        <w:t>(</w:t>
      </w:r>
      <w:r w:rsidR="00597766" w:rsidRPr="00D947C8">
        <w:rPr>
          <w:rFonts w:cs="Arial"/>
          <w:szCs w:val="20"/>
          <w:u w:val="single"/>
        </w:rPr>
        <w:t>vk</w:t>
      </w:r>
      <w:r w:rsidR="00D717B6" w:rsidRPr="00D947C8">
        <w:rPr>
          <w:rFonts w:cs="Arial"/>
          <w:szCs w:val="20"/>
          <w:u w:val="single"/>
        </w:rPr>
        <w:t>l</w:t>
      </w:r>
      <w:r w:rsidR="00597766" w:rsidRPr="00D947C8">
        <w:rPr>
          <w:rFonts w:cs="Arial"/>
          <w:szCs w:val="20"/>
          <w:u w:val="single"/>
        </w:rPr>
        <w:t>jučno s</w:t>
      </w:r>
      <w:r w:rsidRPr="00D947C8">
        <w:rPr>
          <w:rFonts w:cs="Arial"/>
          <w:szCs w:val="20"/>
          <w:u w:val="single"/>
        </w:rPr>
        <w:t xml:space="preserve"> poračuni od razglasitve epidemije dalje</w:t>
      </w:r>
      <w:r w:rsidR="00597766">
        <w:rPr>
          <w:rFonts w:cs="Arial"/>
          <w:szCs w:val="20"/>
        </w:rPr>
        <w:t>)</w:t>
      </w:r>
      <w:r>
        <w:rPr>
          <w:rFonts w:cs="Arial"/>
          <w:szCs w:val="20"/>
        </w:rPr>
        <w:t xml:space="preserve">, prosimo ministrstva, </w:t>
      </w:r>
      <w:r w:rsidRPr="00BB4D27">
        <w:rPr>
          <w:rFonts w:cs="Arial"/>
          <w:szCs w:val="20"/>
          <w:u w:val="single"/>
        </w:rPr>
        <w:t>da nemudoma pristopijo k pripravi navedenih usmeritev</w:t>
      </w:r>
      <w:r w:rsidR="00990D51" w:rsidRPr="00BB4D27">
        <w:rPr>
          <w:rFonts w:cs="Arial"/>
          <w:szCs w:val="20"/>
          <w:u w:val="single"/>
        </w:rPr>
        <w:t xml:space="preserve"> </w:t>
      </w:r>
      <w:r w:rsidR="00FA459D" w:rsidRPr="00BB4D27">
        <w:rPr>
          <w:rFonts w:cs="Arial"/>
          <w:szCs w:val="20"/>
          <w:u w:val="single"/>
        </w:rPr>
        <w:t>v zvezi z izplačevanjem dodatka za delo v rizičnih razmerah za proračunske uporabnike iz svoje pristojnosti.</w:t>
      </w:r>
      <w:r w:rsidR="00FA459D" w:rsidRPr="0047018C">
        <w:rPr>
          <w:rFonts w:cs="Arial"/>
          <w:b/>
          <w:bCs/>
          <w:szCs w:val="20"/>
        </w:rPr>
        <w:t xml:space="preserve"> </w:t>
      </w:r>
      <w:r w:rsidRPr="0047018C">
        <w:rPr>
          <w:rFonts w:cs="Arial"/>
          <w:szCs w:val="20"/>
        </w:rPr>
        <w:t xml:space="preserve">   </w:t>
      </w:r>
    </w:p>
    <w:p w14:paraId="6673C1EB" w14:textId="77777777" w:rsidR="001922A3" w:rsidRDefault="001922A3" w:rsidP="004B3416">
      <w:pPr>
        <w:spacing w:after="160" w:line="259" w:lineRule="auto"/>
        <w:jc w:val="both"/>
        <w:rPr>
          <w:rFonts w:cs="Arial"/>
          <w:szCs w:val="20"/>
        </w:rPr>
      </w:pPr>
      <w:r>
        <w:rPr>
          <w:rFonts w:cs="Arial"/>
          <w:szCs w:val="20"/>
        </w:rPr>
        <w:t xml:space="preserve">Ob tem opozarjamo, da z Zakonom o interventnih ukrepih za zajezitev epidemije COVID-19 in omilitev njenih posledic za državljane in gospodarstvo (PKP#1), ki bo uveljavljen </w:t>
      </w:r>
      <w:r w:rsidR="00FA459D">
        <w:rPr>
          <w:rFonts w:cs="Arial"/>
          <w:szCs w:val="20"/>
        </w:rPr>
        <w:t>11.</w:t>
      </w:r>
      <w:r w:rsidR="0047018C">
        <w:rPr>
          <w:rFonts w:cs="Arial"/>
          <w:szCs w:val="20"/>
        </w:rPr>
        <w:t xml:space="preserve"> aprila </w:t>
      </w:r>
      <w:r w:rsidR="00FA459D">
        <w:rPr>
          <w:rFonts w:cs="Arial"/>
          <w:szCs w:val="20"/>
        </w:rPr>
        <w:t>2020</w:t>
      </w:r>
      <w:r>
        <w:rPr>
          <w:rFonts w:cs="Arial"/>
          <w:szCs w:val="20"/>
        </w:rPr>
        <w:t xml:space="preserve">, uvajamo povsem </w:t>
      </w:r>
      <w:r w:rsidRPr="001E4AC7">
        <w:rPr>
          <w:rFonts w:cs="Arial"/>
          <w:szCs w:val="20"/>
          <w:u w:val="single"/>
        </w:rPr>
        <w:t>nov dodatek za nevarnost in posebne obremenitve v času epidemije virusa COVID-19</w:t>
      </w:r>
      <w:r>
        <w:rPr>
          <w:rFonts w:cs="Arial"/>
          <w:szCs w:val="20"/>
        </w:rPr>
        <w:t>, za vse tiste, ki so zaradi opravljanja svojega dela v času epidemije nadpovprečno izpostavljeni tveganju za svoje zdravje oziroma so prekomerno obremenjeni zaradi obvladovanja epidemije. Pomembno je poudariti, da bodo do tega dodatka lahko upravičeni tudi tisti zaposleni, ki ne bodo upravičeni do dodatka po KPJS. Zaposleni, ki bodo prejeli dodatek po KPJS, bodo prav tako prejeli ta novi dodatek po PKP#1, vendar vsota obeh dodatkov ne bo smela preseči 100 odstotkov osnovne plače.</w:t>
      </w:r>
    </w:p>
    <w:p w14:paraId="01E32FB6" w14:textId="77777777" w:rsidR="00C35FF7" w:rsidRDefault="00C35FF7" w:rsidP="004B3416">
      <w:pPr>
        <w:spacing w:after="160" w:line="259" w:lineRule="auto"/>
        <w:jc w:val="both"/>
        <w:rPr>
          <w:rFonts w:cs="Arial"/>
          <w:szCs w:val="20"/>
        </w:rPr>
      </w:pPr>
      <w:r>
        <w:rPr>
          <w:rFonts w:cs="Arial"/>
          <w:szCs w:val="20"/>
        </w:rPr>
        <w:t>Hkrati vas obveščamo, da je Komisija za razlago KPJS na isti seji sprejela tudi razlago glede napačnega sklica na 11. točko v 39. členu KPJS, in sicer:</w:t>
      </w:r>
    </w:p>
    <w:p w14:paraId="03AA1CB5" w14:textId="77777777" w:rsidR="00423AF2" w:rsidRDefault="00423AF2" w:rsidP="00423AF2">
      <w:pPr>
        <w:spacing w:before="120" w:after="120"/>
        <w:jc w:val="both"/>
        <w:rPr>
          <w:rFonts w:ascii="Calibri" w:hAnsi="Calibri"/>
          <w:b/>
          <w:bCs/>
          <w:i/>
          <w:iCs/>
          <w:color w:val="000000"/>
          <w:szCs w:val="22"/>
          <w:shd w:val="clear" w:color="auto" w:fill="FFFFFF"/>
        </w:rPr>
      </w:pPr>
      <w:r>
        <w:rPr>
          <w:b/>
          <w:bCs/>
          <w:i/>
          <w:iCs/>
          <w:color w:val="000000"/>
          <w:shd w:val="clear" w:color="auto" w:fill="FFFFFF"/>
        </w:rPr>
        <w:lastRenderedPageBreak/>
        <w:t>»Sklic v četrtem odstavku 9. točke prvega odstavka 39. člena KPJS na 11. točko prvega odstavka istega člena je napačen in se dejansko nanaša na 9. točko prvega odstavka 39. člena KPJS.«</w:t>
      </w:r>
    </w:p>
    <w:p w14:paraId="301BF917" w14:textId="77777777" w:rsidR="004B3416" w:rsidRPr="004B3416" w:rsidRDefault="004B3416" w:rsidP="004B3416">
      <w:pPr>
        <w:spacing w:after="160" w:line="259" w:lineRule="auto"/>
        <w:jc w:val="both"/>
        <w:rPr>
          <w:rFonts w:cs="Arial"/>
          <w:szCs w:val="20"/>
        </w:rPr>
      </w:pPr>
    </w:p>
    <w:p w14:paraId="3C2FADB4" w14:textId="77777777" w:rsidR="00DC37F7" w:rsidRDefault="00DC37F7" w:rsidP="0098661D">
      <w:pPr>
        <w:spacing w:line="240" w:lineRule="atLeast"/>
        <w:jc w:val="both"/>
        <w:rPr>
          <w:rFonts w:cs="Arial"/>
          <w:color w:val="000000" w:themeColor="text1"/>
          <w:szCs w:val="20"/>
        </w:rPr>
      </w:pPr>
    </w:p>
    <w:p w14:paraId="0C27B27D" w14:textId="77777777" w:rsidR="0098661D" w:rsidRPr="00CA200C" w:rsidRDefault="000565F7" w:rsidP="0098661D">
      <w:pPr>
        <w:spacing w:line="260" w:lineRule="exact"/>
      </w:pPr>
      <w:r>
        <w:t>Iskrena hvala že vnaprej in p</w:t>
      </w:r>
      <w:r w:rsidR="005B0A67">
        <w:t>rijazen pozdrav,</w:t>
      </w:r>
    </w:p>
    <w:p w14:paraId="69F72A58" w14:textId="77777777" w:rsidR="0098661D" w:rsidRDefault="0098661D" w:rsidP="0098661D">
      <w:pPr>
        <w:spacing w:line="260" w:lineRule="exact"/>
      </w:pPr>
    </w:p>
    <w:p w14:paraId="4A205001" w14:textId="77777777" w:rsidR="000565F7" w:rsidRPr="00CA200C" w:rsidRDefault="000565F7" w:rsidP="0098661D">
      <w:pPr>
        <w:spacing w:line="260" w:lineRule="exact"/>
      </w:pPr>
    </w:p>
    <w:p w14:paraId="54AA0EA1" w14:textId="77777777" w:rsidR="0098661D" w:rsidRPr="00916CF9" w:rsidRDefault="0098661D" w:rsidP="0098661D">
      <w:pPr>
        <w:pStyle w:val="Telobesedila2"/>
        <w:spacing w:after="0" w:line="260" w:lineRule="exact"/>
        <w:jc w:val="center"/>
        <w:rPr>
          <w:rFonts w:ascii="Arial" w:hAnsi="Arial" w:cs="Arial"/>
          <w:sz w:val="20"/>
          <w:szCs w:val="20"/>
        </w:rPr>
      </w:pPr>
      <w:r w:rsidRPr="00AE5FF5">
        <w:rPr>
          <w:rFonts w:ascii="Arial" w:hAnsi="Arial" w:cs="Arial"/>
          <w:sz w:val="20"/>
          <w:szCs w:val="20"/>
          <w:lang w:eastAsia="en-US"/>
        </w:rPr>
        <w:t xml:space="preserve">                                           </w:t>
      </w:r>
      <w:r w:rsidR="00AE5FF5">
        <w:rPr>
          <w:rFonts w:ascii="Arial" w:hAnsi="Arial" w:cs="Arial"/>
          <w:sz w:val="20"/>
          <w:szCs w:val="20"/>
          <w:lang w:eastAsia="en-US"/>
        </w:rPr>
        <w:t xml:space="preserve">                                                   </w:t>
      </w:r>
      <w:r w:rsidR="00AE5FF5" w:rsidRPr="00AE5FF5">
        <w:rPr>
          <w:rFonts w:ascii="Arial" w:hAnsi="Arial" w:cs="Arial"/>
          <w:sz w:val="20"/>
          <w:szCs w:val="20"/>
          <w:lang w:eastAsia="en-US"/>
        </w:rPr>
        <w:t>Boštjan Koritnik</w:t>
      </w:r>
      <w:r w:rsidRPr="00CA200C">
        <w:rPr>
          <w:b/>
        </w:rPr>
        <w:t xml:space="preserve">                                           </w:t>
      </w:r>
    </w:p>
    <w:p w14:paraId="1B000F48" w14:textId="77777777" w:rsidR="000565F7" w:rsidRDefault="0098661D" w:rsidP="000565F7">
      <w:pPr>
        <w:spacing w:line="260" w:lineRule="exact"/>
        <w:jc w:val="center"/>
      </w:pPr>
      <w:r w:rsidRPr="00916CF9">
        <w:rPr>
          <w:rFonts w:cs="Arial"/>
          <w:szCs w:val="20"/>
        </w:rPr>
        <w:t xml:space="preserve">                                                                                              minister</w:t>
      </w:r>
    </w:p>
    <w:p w14:paraId="6C56F9FF" w14:textId="77777777" w:rsidR="0098661D" w:rsidRPr="00CA200C" w:rsidRDefault="000565F7" w:rsidP="0098661D">
      <w:pPr>
        <w:pStyle w:val="podpisi"/>
        <w:spacing w:line="260" w:lineRule="exact"/>
        <w:rPr>
          <w:lang w:val="sl-SI"/>
        </w:rPr>
      </w:pPr>
      <w:r>
        <w:rPr>
          <w:lang w:val="sl-SI"/>
        </w:rPr>
        <w:t>Poslano:</w:t>
      </w:r>
    </w:p>
    <w:p w14:paraId="5FC1985B" w14:textId="77777777" w:rsidR="00C12278" w:rsidRPr="000565F7" w:rsidRDefault="0098661D" w:rsidP="000565F7">
      <w:pPr>
        <w:pStyle w:val="podpisi"/>
        <w:numPr>
          <w:ilvl w:val="0"/>
          <w:numId w:val="1"/>
        </w:numPr>
        <w:spacing w:line="260" w:lineRule="exact"/>
        <w:rPr>
          <w:lang w:val="sl-SI"/>
        </w:rPr>
      </w:pPr>
      <w:r>
        <w:rPr>
          <w:lang w:val="sl-SI"/>
        </w:rPr>
        <w:t>n</w:t>
      </w:r>
      <w:r w:rsidRPr="00F04FB0">
        <w:rPr>
          <w:lang w:val="sl-SI"/>
        </w:rPr>
        <w:t>aslov</w:t>
      </w:r>
      <w:r>
        <w:rPr>
          <w:lang w:val="sl-SI"/>
        </w:rPr>
        <w:t>nikom po elektronski pošti</w:t>
      </w:r>
      <w:bookmarkEnd w:id="0"/>
    </w:p>
    <w:sectPr w:rsidR="00C12278" w:rsidRPr="000565F7" w:rsidSect="00A5646A">
      <w:headerReference w:type="default"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9A02C" w14:textId="77777777" w:rsidR="00DD7EE1" w:rsidRDefault="00DD7EE1" w:rsidP="0098661D">
      <w:pPr>
        <w:spacing w:line="240" w:lineRule="auto"/>
      </w:pPr>
      <w:r>
        <w:separator/>
      </w:r>
    </w:p>
  </w:endnote>
  <w:endnote w:type="continuationSeparator" w:id="0">
    <w:p w14:paraId="668A8A42" w14:textId="77777777" w:rsidR="00DD7EE1" w:rsidRDefault="00DD7EE1" w:rsidP="00986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45283"/>
      <w:docPartObj>
        <w:docPartGallery w:val="Page Numbers (Bottom of Page)"/>
        <w:docPartUnique/>
      </w:docPartObj>
    </w:sdtPr>
    <w:sdtEndPr/>
    <w:sdtContent>
      <w:p w14:paraId="4E2F83F8" w14:textId="0A69D38E" w:rsidR="0049629D" w:rsidRDefault="0098661D">
        <w:pPr>
          <w:pStyle w:val="Noga"/>
          <w:jc w:val="right"/>
        </w:pPr>
        <w:r>
          <w:fldChar w:fldCharType="begin"/>
        </w:r>
        <w:r>
          <w:instrText>PAGE   \* MERGEFORMAT</w:instrText>
        </w:r>
        <w:r>
          <w:fldChar w:fldCharType="separate"/>
        </w:r>
        <w:r w:rsidR="00316C65">
          <w:rPr>
            <w:noProof/>
          </w:rPr>
          <w:t>4</w:t>
        </w:r>
        <w:r>
          <w:rPr>
            <w:noProof/>
          </w:rPr>
          <w:fldChar w:fldCharType="end"/>
        </w:r>
      </w:p>
    </w:sdtContent>
  </w:sdt>
  <w:p w14:paraId="0FE6AE7E" w14:textId="77777777" w:rsidR="0049629D" w:rsidRDefault="00FA0F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F8977" w14:textId="77777777" w:rsidR="00DD7EE1" w:rsidRDefault="00DD7EE1" w:rsidP="0098661D">
      <w:pPr>
        <w:spacing w:line="240" w:lineRule="auto"/>
      </w:pPr>
      <w:r>
        <w:separator/>
      </w:r>
    </w:p>
  </w:footnote>
  <w:footnote w:type="continuationSeparator" w:id="0">
    <w:p w14:paraId="2F9C9DDE" w14:textId="77777777" w:rsidR="00DD7EE1" w:rsidRDefault="00DD7EE1" w:rsidP="009866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CA7B" w14:textId="77777777" w:rsidR="0049629D" w:rsidRPr="00110CBD" w:rsidRDefault="00FA0FB4" w:rsidP="00A564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9629D" w:rsidRPr="008F3500" w14:paraId="0A49F648" w14:textId="77777777" w:rsidTr="00A5646A">
      <w:trPr>
        <w:cantSplit/>
        <w:trHeight w:hRule="exact" w:val="847"/>
      </w:trPr>
      <w:tc>
        <w:tcPr>
          <w:tcW w:w="649" w:type="dxa"/>
        </w:tcPr>
        <w:p w14:paraId="43619AFD" w14:textId="77777777" w:rsidR="0049629D" w:rsidRDefault="0098661D" w:rsidP="00A5646A">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283BF31" w14:textId="77777777" w:rsidR="0049629D" w:rsidRPr="006D42D9" w:rsidRDefault="00FA0FB4" w:rsidP="00A5646A">
          <w:pPr>
            <w:rPr>
              <w:rFonts w:ascii="Republika" w:hAnsi="Republika"/>
              <w:sz w:val="60"/>
              <w:szCs w:val="60"/>
            </w:rPr>
          </w:pPr>
        </w:p>
        <w:p w14:paraId="634A8820" w14:textId="77777777" w:rsidR="0049629D" w:rsidRPr="006D42D9" w:rsidRDefault="00FA0FB4" w:rsidP="00A5646A">
          <w:pPr>
            <w:rPr>
              <w:rFonts w:ascii="Republika" w:hAnsi="Republika"/>
              <w:sz w:val="60"/>
              <w:szCs w:val="60"/>
            </w:rPr>
          </w:pPr>
        </w:p>
        <w:p w14:paraId="3D551ED9" w14:textId="77777777" w:rsidR="0049629D" w:rsidRPr="006D42D9" w:rsidRDefault="00FA0FB4" w:rsidP="00A5646A">
          <w:pPr>
            <w:rPr>
              <w:rFonts w:ascii="Republika" w:hAnsi="Republika"/>
              <w:sz w:val="60"/>
              <w:szCs w:val="60"/>
            </w:rPr>
          </w:pPr>
        </w:p>
        <w:p w14:paraId="058D41E7" w14:textId="77777777" w:rsidR="0049629D" w:rsidRPr="006D42D9" w:rsidRDefault="00FA0FB4" w:rsidP="00A5646A">
          <w:pPr>
            <w:rPr>
              <w:rFonts w:ascii="Republika" w:hAnsi="Republika"/>
              <w:sz w:val="60"/>
              <w:szCs w:val="60"/>
            </w:rPr>
          </w:pPr>
        </w:p>
        <w:p w14:paraId="1725F0F2" w14:textId="77777777" w:rsidR="0049629D" w:rsidRPr="006D42D9" w:rsidRDefault="00FA0FB4" w:rsidP="00A5646A">
          <w:pPr>
            <w:rPr>
              <w:rFonts w:ascii="Republika" w:hAnsi="Republika"/>
              <w:sz w:val="60"/>
              <w:szCs w:val="60"/>
            </w:rPr>
          </w:pPr>
        </w:p>
        <w:p w14:paraId="259925F8" w14:textId="77777777" w:rsidR="0049629D" w:rsidRPr="006D42D9" w:rsidRDefault="00FA0FB4" w:rsidP="00A5646A">
          <w:pPr>
            <w:rPr>
              <w:rFonts w:ascii="Republika" w:hAnsi="Republika"/>
              <w:sz w:val="60"/>
              <w:szCs w:val="60"/>
            </w:rPr>
          </w:pPr>
        </w:p>
        <w:p w14:paraId="7F525B74" w14:textId="77777777" w:rsidR="0049629D" w:rsidRPr="006D42D9" w:rsidRDefault="00FA0FB4" w:rsidP="00A5646A">
          <w:pPr>
            <w:rPr>
              <w:rFonts w:ascii="Republika" w:hAnsi="Republika"/>
              <w:sz w:val="60"/>
              <w:szCs w:val="60"/>
            </w:rPr>
          </w:pPr>
        </w:p>
        <w:p w14:paraId="158B7278" w14:textId="77777777" w:rsidR="0049629D" w:rsidRPr="006D42D9" w:rsidRDefault="00FA0FB4" w:rsidP="00A5646A">
          <w:pPr>
            <w:rPr>
              <w:rFonts w:ascii="Republika" w:hAnsi="Republika"/>
              <w:sz w:val="60"/>
              <w:szCs w:val="60"/>
            </w:rPr>
          </w:pPr>
        </w:p>
        <w:p w14:paraId="21B32CDA" w14:textId="77777777" w:rsidR="0049629D" w:rsidRPr="006D42D9" w:rsidRDefault="00FA0FB4" w:rsidP="00A5646A">
          <w:pPr>
            <w:rPr>
              <w:rFonts w:ascii="Republika" w:hAnsi="Republika"/>
              <w:sz w:val="60"/>
              <w:szCs w:val="60"/>
            </w:rPr>
          </w:pPr>
        </w:p>
        <w:p w14:paraId="71CC7711" w14:textId="77777777" w:rsidR="0049629D" w:rsidRPr="006D42D9" w:rsidRDefault="00FA0FB4" w:rsidP="00A5646A">
          <w:pPr>
            <w:rPr>
              <w:rFonts w:ascii="Republika" w:hAnsi="Republika"/>
              <w:sz w:val="60"/>
              <w:szCs w:val="60"/>
            </w:rPr>
          </w:pPr>
        </w:p>
        <w:p w14:paraId="4C00B924" w14:textId="77777777" w:rsidR="0049629D" w:rsidRPr="006D42D9" w:rsidRDefault="00FA0FB4" w:rsidP="00A5646A">
          <w:pPr>
            <w:rPr>
              <w:rFonts w:ascii="Republika" w:hAnsi="Republika"/>
              <w:sz w:val="60"/>
              <w:szCs w:val="60"/>
            </w:rPr>
          </w:pPr>
        </w:p>
        <w:p w14:paraId="52CB7E8E" w14:textId="77777777" w:rsidR="0049629D" w:rsidRPr="006D42D9" w:rsidRDefault="00FA0FB4" w:rsidP="00A5646A">
          <w:pPr>
            <w:rPr>
              <w:rFonts w:ascii="Republika" w:hAnsi="Republika"/>
              <w:sz w:val="60"/>
              <w:szCs w:val="60"/>
            </w:rPr>
          </w:pPr>
        </w:p>
        <w:p w14:paraId="63C2FDAD" w14:textId="77777777" w:rsidR="0049629D" w:rsidRPr="006D42D9" w:rsidRDefault="00FA0FB4" w:rsidP="00A5646A">
          <w:pPr>
            <w:rPr>
              <w:rFonts w:ascii="Republika" w:hAnsi="Republika"/>
              <w:sz w:val="60"/>
              <w:szCs w:val="60"/>
            </w:rPr>
          </w:pPr>
        </w:p>
        <w:p w14:paraId="4A8ACBDC" w14:textId="77777777" w:rsidR="0049629D" w:rsidRPr="006D42D9" w:rsidRDefault="00FA0FB4" w:rsidP="00A5646A">
          <w:pPr>
            <w:rPr>
              <w:rFonts w:ascii="Republika" w:hAnsi="Republika"/>
              <w:sz w:val="60"/>
              <w:szCs w:val="60"/>
            </w:rPr>
          </w:pPr>
        </w:p>
        <w:p w14:paraId="49BB93FC" w14:textId="77777777" w:rsidR="0049629D" w:rsidRPr="006D42D9" w:rsidRDefault="00FA0FB4" w:rsidP="00A5646A">
          <w:pPr>
            <w:rPr>
              <w:rFonts w:ascii="Republika" w:hAnsi="Republika"/>
              <w:sz w:val="60"/>
              <w:szCs w:val="60"/>
            </w:rPr>
          </w:pPr>
        </w:p>
        <w:p w14:paraId="3C28F4F4" w14:textId="77777777" w:rsidR="0049629D" w:rsidRPr="006D42D9" w:rsidRDefault="00FA0FB4" w:rsidP="00A5646A">
          <w:pPr>
            <w:rPr>
              <w:rFonts w:ascii="Republika" w:hAnsi="Republika"/>
              <w:sz w:val="60"/>
              <w:szCs w:val="60"/>
            </w:rPr>
          </w:pPr>
        </w:p>
      </w:tc>
    </w:tr>
  </w:tbl>
  <w:p w14:paraId="5279E020" w14:textId="77777777" w:rsidR="0049629D" w:rsidRPr="008F3500" w:rsidRDefault="0098661D" w:rsidP="00A5646A">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5" distB="4294967295" distL="114300" distR="114300" simplePos="0" relativeHeight="251659264" behindDoc="1" locked="0" layoutInCell="0" allowOverlap="1" wp14:anchorId="20A54BC1" wp14:editId="0057E27D">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EAAE4" id="Raven povezovalnik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8F3500">
      <w:rPr>
        <w:rFonts w:ascii="Republika" w:hAnsi="Republika"/>
      </w:rPr>
      <w:t>REPUBLIKA SLOVENIJA</w:t>
    </w:r>
  </w:p>
  <w:p w14:paraId="28981FC4" w14:textId="77777777" w:rsidR="0049629D" w:rsidRPr="00CB5329" w:rsidRDefault="0098661D" w:rsidP="00A5646A">
    <w:pPr>
      <w:pStyle w:val="Glava"/>
      <w:tabs>
        <w:tab w:val="clear" w:pos="4320"/>
        <w:tab w:val="clear" w:pos="8640"/>
        <w:tab w:val="left" w:pos="5112"/>
      </w:tabs>
      <w:spacing w:after="120" w:line="240" w:lineRule="exact"/>
      <w:rPr>
        <w:rFonts w:cs="Arial"/>
        <w:b/>
        <w:caps/>
      </w:rPr>
    </w:pPr>
    <w:r w:rsidRPr="00CB5329">
      <w:rPr>
        <w:rFonts w:cs="Arial"/>
        <w:b/>
        <w:caps/>
      </w:rPr>
      <w:t>Ministrstvo za javno upravo</w:t>
    </w:r>
  </w:p>
  <w:p w14:paraId="6F076A82" w14:textId="77777777" w:rsidR="0049629D" w:rsidRPr="008F3500" w:rsidRDefault="0098661D" w:rsidP="00A5646A">
    <w:pPr>
      <w:pStyle w:val="Glava"/>
      <w:tabs>
        <w:tab w:val="clear" w:pos="4320"/>
        <w:tab w:val="clear" w:pos="8640"/>
        <w:tab w:val="left" w:pos="5112"/>
      </w:tabs>
      <w:spacing w:before="240" w:line="240" w:lineRule="exact"/>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01 478 16 50</w:t>
    </w:r>
  </w:p>
  <w:p w14:paraId="0A8DE1EF" w14:textId="77777777" w:rsidR="0049629D" w:rsidRPr="008F3500" w:rsidRDefault="0098661D" w:rsidP="00A5646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01 478 16 50</w:t>
    </w:r>
  </w:p>
  <w:p w14:paraId="00214619" w14:textId="77777777" w:rsidR="0049629D" w:rsidRPr="008F3500" w:rsidRDefault="0098661D" w:rsidP="00A5646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178AF05F" w14:textId="77777777" w:rsidR="0049629D" w:rsidRPr="008F3500" w:rsidRDefault="0098661D" w:rsidP="00A5646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48342456" w14:textId="77777777" w:rsidR="0049629D" w:rsidRDefault="00FA0FB4" w:rsidP="00A5646A">
    <w:pPr>
      <w:pStyle w:val="Glava"/>
      <w:tabs>
        <w:tab w:val="clear" w:pos="4320"/>
        <w:tab w:val="clear" w:pos="8640"/>
        <w:tab w:val="left" w:pos="5112"/>
      </w:tabs>
    </w:pPr>
  </w:p>
  <w:p w14:paraId="1362C574" w14:textId="77777777" w:rsidR="0049629D" w:rsidRDefault="00FA0FB4" w:rsidP="00A5646A">
    <w:pPr>
      <w:pStyle w:val="Glava"/>
      <w:tabs>
        <w:tab w:val="clear" w:pos="4320"/>
        <w:tab w:val="clear" w:pos="8640"/>
        <w:tab w:val="left" w:pos="5112"/>
      </w:tabs>
    </w:pPr>
  </w:p>
  <w:p w14:paraId="4F3DA066" w14:textId="77777777" w:rsidR="0049629D" w:rsidRDefault="00FA0FB4" w:rsidP="00A5646A">
    <w:pPr>
      <w:pStyle w:val="Glava"/>
      <w:tabs>
        <w:tab w:val="clear" w:pos="4320"/>
        <w:tab w:val="clear" w:pos="8640"/>
        <w:tab w:val="left" w:pos="5112"/>
      </w:tabs>
    </w:pPr>
  </w:p>
  <w:p w14:paraId="0A3F37CF" w14:textId="77777777" w:rsidR="0049629D" w:rsidRDefault="00FA0FB4" w:rsidP="00A5646A">
    <w:pPr>
      <w:pStyle w:val="Glava"/>
      <w:tabs>
        <w:tab w:val="clear" w:pos="4320"/>
        <w:tab w:val="clear" w:pos="8640"/>
        <w:tab w:val="left" w:pos="5112"/>
      </w:tabs>
    </w:pPr>
  </w:p>
  <w:p w14:paraId="364CB001" w14:textId="77777777" w:rsidR="0049629D" w:rsidRPr="00924C3B" w:rsidRDefault="00FA0FB4" w:rsidP="00A5646A">
    <w:pPr>
      <w:pStyle w:val="Glava"/>
      <w:tabs>
        <w:tab w:val="clear" w:pos="4320"/>
        <w:tab w:val="clear" w:pos="8640"/>
        <w:tab w:val="left" w:pos="5112"/>
      </w:tabs>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5FE3"/>
    <w:multiLevelType w:val="hybridMultilevel"/>
    <w:tmpl w:val="61A0D548"/>
    <w:lvl w:ilvl="0" w:tplc="04240011">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23C14"/>
    <w:multiLevelType w:val="hybridMultilevel"/>
    <w:tmpl w:val="F1ACF7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114DCD"/>
    <w:multiLevelType w:val="hybridMultilevel"/>
    <w:tmpl w:val="DD2A495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7948093A"/>
    <w:multiLevelType w:val="hybridMultilevel"/>
    <w:tmpl w:val="F54E5E2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1D"/>
    <w:rsid w:val="00000CD3"/>
    <w:rsid w:val="000348F6"/>
    <w:rsid w:val="00045A9E"/>
    <w:rsid w:val="000565F7"/>
    <w:rsid w:val="000747CA"/>
    <w:rsid w:val="00076698"/>
    <w:rsid w:val="000823DE"/>
    <w:rsid w:val="00085ED9"/>
    <w:rsid w:val="000868D7"/>
    <w:rsid w:val="00095FEC"/>
    <w:rsid w:val="000B40DD"/>
    <w:rsid w:val="000E7935"/>
    <w:rsid w:val="00156080"/>
    <w:rsid w:val="00162007"/>
    <w:rsid w:val="00164AD4"/>
    <w:rsid w:val="00181DA7"/>
    <w:rsid w:val="00182E4A"/>
    <w:rsid w:val="00191571"/>
    <w:rsid w:val="001922A3"/>
    <w:rsid w:val="001976EF"/>
    <w:rsid w:val="001A1E85"/>
    <w:rsid w:val="001E21F4"/>
    <w:rsid w:val="001E4AC7"/>
    <w:rsid w:val="001E5B7E"/>
    <w:rsid w:val="001F41E7"/>
    <w:rsid w:val="00280F19"/>
    <w:rsid w:val="00291204"/>
    <w:rsid w:val="002C154C"/>
    <w:rsid w:val="002E62CD"/>
    <w:rsid w:val="002F498F"/>
    <w:rsid w:val="00316C65"/>
    <w:rsid w:val="00316C82"/>
    <w:rsid w:val="0036240C"/>
    <w:rsid w:val="00367822"/>
    <w:rsid w:val="00371658"/>
    <w:rsid w:val="00380BB7"/>
    <w:rsid w:val="00386772"/>
    <w:rsid w:val="00391034"/>
    <w:rsid w:val="003963B6"/>
    <w:rsid w:val="003B39FF"/>
    <w:rsid w:val="003E34EE"/>
    <w:rsid w:val="0040622A"/>
    <w:rsid w:val="00423AF2"/>
    <w:rsid w:val="00436ADC"/>
    <w:rsid w:val="00440D40"/>
    <w:rsid w:val="0045468A"/>
    <w:rsid w:val="004574E3"/>
    <w:rsid w:val="0047018C"/>
    <w:rsid w:val="00490D07"/>
    <w:rsid w:val="00491930"/>
    <w:rsid w:val="004B3416"/>
    <w:rsid w:val="004E034C"/>
    <w:rsid w:val="004F1E82"/>
    <w:rsid w:val="00504C66"/>
    <w:rsid w:val="00513D70"/>
    <w:rsid w:val="00523820"/>
    <w:rsid w:val="005250C2"/>
    <w:rsid w:val="00534D84"/>
    <w:rsid w:val="0054258D"/>
    <w:rsid w:val="00550A3E"/>
    <w:rsid w:val="00554D6F"/>
    <w:rsid w:val="00576545"/>
    <w:rsid w:val="00597766"/>
    <w:rsid w:val="005A2D99"/>
    <w:rsid w:val="005B0A67"/>
    <w:rsid w:val="005D01C9"/>
    <w:rsid w:val="006140B0"/>
    <w:rsid w:val="00615164"/>
    <w:rsid w:val="00626070"/>
    <w:rsid w:val="006327AF"/>
    <w:rsid w:val="006427FB"/>
    <w:rsid w:val="00653B0D"/>
    <w:rsid w:val="00675121"/>
    <w:rsid w:val="006945F8"/>
    <w:rsid w:val="0069688F"/>
    <w:rsid w:val="006C3713"/>
    <w:rsid w:val="006C43A7"/>
    <w:rsid w:val="00710C55"/>
    <w:rsid w:val="007163C0"/>
    <w:rsid w:val="00724F80"/>
    <w:rsid w:val="00761D16"/>
    <w:rsid w:val="00777474"/>
    <w:rsid w:val="007879D9"/>
    <w:rsid w:val="00795124"/>
    <w:rsid w:val="00795766"/>
    <w:rsid w:val="007B0697"/>
    <w:rsid w:val="007B4B75"/>
    <w:rsid w:val="007C4CB6"/>
    <w:rsid w:val="00810EEC"/>
    <w:rsid w:val="0081142E"/>
    <w:rsid w:val="00815C17"/>
    <w:rsid w:val="00821DEC"/>
    <w:rsid w:val="00826299"/>
    <w:rsid w:val="00837A41"/>
    <w:rsid w:val="00870929"/>
    <w:rsid w:val="00873F0A"/>
    <w:rsid w:val="008B5180"/>
    <w:rsid w:val="008F50A8"/>
    <w:rsid w:val="009062D0"/>
    <w:rsid w:val="009153A3"/>
    <w:rsid w:val="00924C3B"/>
    <w:rsid w:val="00954F28"/>
    <w:rsid w:val="00960DD4"/>
    <w:rsid w:val="00977C85"/>
    <w:rsid w:val="00982F94"/>
    <w:rsid w:val="0098661D"/>
    <w:rsid w:val="00990D51"/>
    <w:rsid w:val="00994B51"/>
    <w:rsid w:val="0099698E"/>
    <w:rsid w:val="009B1985"/>
    <w:rsid w:val="009B4224"/>
    <w:rsid w:val="009C0960"/>
    <w:rsid w:val="00A03E2B"/>
    <w:rsid w:val="00A0756C"/>
    <w:rsid w:val="00A56DE6"/>
    <w:rsid w:val="00A572A4"/>
    <w:rsid w:val="00A66A49"/>
    <w:rsid w:val="00AC0913"/>
    <w:rsid w:val="00AE3B81"/>
    <w:rsid w:val="00AE5FF5"/>
    <w:rsid w:val="00AF0D0D"/>
    <w:rsid w:val="00B02648"/>
    <w:rsid w:val="00B4464D"/>
    <w:rsid w:val="00B45BAB"/>
    <w:rsid w:val="00B5738E"/>
    <w:rsid w:val="00B7777D"/>
    <w:rsid w:val="00B901D2"/>
    <w:rsid w:val="00B91272"/>
    <w:rsid w:val="00B94DF2"/>
    <w:rsid w:val="00BA37DF"/>
    <w:rsid w:val="00BB4D27"/>
    <w:rsid w:val="00BD29B2"/>
    <w:rsid w:val="00BE1375"/>
    <w:rsid w:val="00C12278"/>
    <w:rsid w:val="00C15393"/>
    <w:rsid w:val="00C3081A"/>
    <w:rsid w:val="00C33985"/>
    <w:rsid w:val="00C35FF7"/>
    <w:rsid w:val="00C83DA9"/>
    <w:rsid w:val="00C950C0"/>
    <w:rsid w:val="00CB3B9E"/>
    <w:rsid w:val="00CB4907"/>
    <w:rsid w:val="00CC0772"/>
    <w:rsid w:val="00D22DB4"/>
    <w:rsid w:val="00D265E8"/>
    <w:rsid w:val="00D3160C"/>
    <w:rsid w:val="00D371C3"/>
    <w:rsid w:val="00D43430"/>
    <w:rsid w:val="00D658CF"/>
    <w:rsid w:val="00D717B6"/>
    <w:rsid w:val="00D944D5"/>
    <w:rsid w:val="00D947C8"/>
    <w:rsid w:val="00D9661F"/>
    <w:rsid w:val="00DC37F7"/>
    <w:rsid w:val="00DD1B69"/>
    <w:rsid w:val="00DD7EE1"/>
    <w:rsid w:val="00DE0468"/>
    <w:rsid w:val="00DE31B2"/>
    <w:rsid w:val="00DE7B68"/>
    <w:rsid w:val="00DF6866"/>
    <w:rsid w:val="00DF7722"/>
    <w:rsid w:val="00E0035C"/>
    <w:rsid w:val="00E24EBD"/>
    <w:rsid w:val="00E2551D"/>
    <w:rsid w:val="00E4454F"/>
    <w:rsid w:val="00E5697F"/>
    <w:rsid w:val="00E60BB5"/>
    <w:rsid w:val="00E733D5"/>
    <w:rsid w:val="00E759A3"/>
    <w:rsid w:val="00EA322E"/>
    <w:rsid w:val="00EB0155"/>
    <w:rsid w:val="00EB35A8"/>
    <w:rsid w:val="00EF13CB"/>
    <w:rsid w:val="00EF3D2A"/>
    <w:rsid w:val="00F12F54"/>
    <w:rsid w:val="00F27CBE"/>
    <w:rsid w:val="00F30E5A"/>
    <w:rsid w:val="00F528B8"/>
    <w:rsid w:val="00F63F33"/>
    <w:rsid w:val="00F67C5A"/>
    <w:rsid w:val="00F96770"/>
    <w:rsid w:val="00FA0FB4"/>
    <w:rsid w:val="00FA459D"/>
    <w:rsid w:val="00FC7958"/>
    <w:rsid w:val="00FD4C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168A"/>
  <w15:docId w15:val="{147B5DAE-66A2-4608-BA9B-441A11F4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98661D"/>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8661D"/>
    <w:pPr>
      <w:tabs>
        <w:tab w:val="center" w:pos="4320"/>
        <w:tab w:val="right" w:pos="8640"/>
      </w:tabs>
    </w:pPr>
  </w:style>
  <w:style w:type="character" w:customStyle="1" w:styleId="GlavaZnak">
    <w:name w:val="Glava Znak"/>
    <w:basedOn w:val="Privzetapisavaodstavka"/>
    <w:link w:val="Glava"/>
    <w:rsid w:val="0098661D"/>
    <w:rPr>
      <w:rFonts w:ascii="Arial" w:eastAsia="Times New Roman" w:hAnsi="Arial" w:cs="Times New Roman"/>
      <w:sz w:val="20"/>
      <w:szCs w:val="24"/>
    </w:rPr>
  </w:style>
  <w:style w:type="paragraph" w:customStyle="1" w:styleId="datumtevilka">
    <w:name w:val="datum številka"/>
    <w:basedOn w:val="Navaden"/>
    <w:qFormat/>
    <w:rsid w:val="0098661D"/>
    <w:pPr>
      <w:tabs>
        <w:tab w:val="left" w:pos="1701"/>
      </w:tabs>
    </w:pPr>
    <w:rPr>
      <w:szCs w:val="20"/>
      <w:lang w:eastAsia="sl-SI"/>
    </w:rPr>
  </w:style>
  <w:style w:type="paragraph" w:customStyle="1" w:styleId="podpisi">
    <w:name w:val="podpisi"/>
    <w:basedOn w:val="Navaden"/>
    <w:qFormat/>
    <w:rsid w:val="0098661D"/>
    <w:pPr>
      <w:tabs>
        <w:tab w:val="left" w:pos="3402"/>
      </w:tabs>
    </w:pPr>
    <w:rPr>
      <w:lang w:val="it-IT"/>
    </w:rPr>
  </w:style>
  <w:style w:type="paragraph" w:styleId="Telobesedila2">
    <w:name w:val="Body Text 2"/>
    <w:basedOn w:val="Navaden"/>
    <w:link w:val="Telobesedila2Znak"/>
    <w:rsid w:val="0098661D"/>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98661D"/>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98661D"/>
    <w:pPr>
      <w:spacing w:after="200" w:line="276" w:lineRule="auto"/>
      <w:ind w:left="720"/>
      <w:contextualSpacing/>
    </w:pPr>
    <w:rPr>
      <w:rFonts w:ascii="Calibri" w:eastAsia="Calibri" w:hAnsi="Calibri"/>
      <w:sz w:val="22"/>
      <w:szCs w:val="22"/>
    </w:rPr>
  </w:style>
  <w:style w:type="paragraph" w:styleId="Noga">
    <w:name w:val="footer"/>
    <w:basedOn w:val="Navaden"/>
    <w:link w:val="NogaZnak"/>
    <w:uiPriority w:val="99"/>
    <w:unhideWhenUsed/>
    <w:rsid w:val="0098661D"/>
    <w:pPr>
      <w:tabs>
        <w:tab w:val="center" w:pos="4536"/>
        <w:tab w:val="right" w:pos="9072"/>
      </w:tabs>
      <w:spacing w:line="240" w:lineRule="auto"/>
    </w:pPr>
  </w:style>
  <w:style w:type="character" w:customStyle="1" w:styleId="NogaZnak">
    <w:name w:val="Noga Znak"/>
    <w:basedOn w:val="Privzetapisavaodstavka"/>
    <w:link w:val="Noga"/>
    <w:uiPriority w:val="99"/>
    <w:rsid w:val="0098661D"/>
    <w:rPr>
      <w:rFonts w:ascii="Arial" w:eastAsia="Times New Roman" w:hAnsi="Arial" w:cs="Times New Roman"/>
      <w:sz w:val="20"/>
      <w:szCs w:val="24"/>
    </w:rPr>
  </w:style>
  <w:style w:type="character" w:styleId="Hiperpovezava">
    <w:name w:val="Hyperlink"/>
    <w:basedOn w:val="Privzetapisavaodstavka"/>
    <w:uiPriority w:val="99"/>
    <w:unhideWhenUsed/>
    <w:rsid w:val="0098661D"/>
    <w:rPr>
      <w:color w:val="0000FF"/>
      <w:u w:val="single"/>
    </w:rPr>
  </w:style>
  <w:style w:type="paragraph" w:customStyle="1" w:styleId="odstavek">
    <w:name w:val="odstavek"/>
    <w:basedOn w:val="Navaden"/>
    <w:rsid w:val="0098661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uiPriority w:val="99"/>
    <w:semiHidden/>
    <w:unhideWhenUsed/>
    <w:rsid w:val="0098661D"/>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98661D"/>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98661D"/>
    <w:rPr>
      <w:vertAlign w:val="superscript"/>
    </w:rPr>
  </w:style>
  <w:style w:type="paragraph" w:styleId="Besedilooblaka">
    <w:name w:val="Balloon Text"/>
    <w:basedOn w:val="Navaden"/>
    <w:link w:val="BesedilooblakaZnak"/>
    <w:uiPriority w:val="99"/>
    <w:semiHidden/>
    <w:unhideWhenUsed/>
    <w:rsid w:val="00534D8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34D84"/>
    <w:rPr>
      <w:rFonts w:ascii="Segoe UI" w:eastAsia="Times New Roman" w:hAnsi="Segoe UI" w:cs="Segoe UI"/>
      <w:sz w:val="18"/>
      <w:szCs w:val="18"/>
    </w:rPr>
  </w:style>
  <w:style w:type="table" w:styleId="Tabelamrea">
    <w:name w:val="Table Grid"/>
    <w:basedOn w:val="Navadnatabela"/>
    <w:uiPriority w:val="39"/>
    <w:rsid w:val="0042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547681">
      <w:bodyDiv w:val="1"/>
      <w:marLeft w:val="0"/>
      <w:marRight w:val="0"/>
      <w:marTop w:val="0"/>
      <w:marBottom w:val="0"/>
      <w:divBdr>
        <w:top w:val="none" w:sz="0" w:space="0" w:color="auto"/>
        <w:left w:val="none" w:sz="0" w:space="0" w:color="auto"/>
        <w:bottom w:val="none" w:sz="0" w:space="0" w:color="auto"/>
        <w:right w:val="none" w:sz="0" w:space="0" w:color="auto"/>
      </w:divBdr>
    </w:div>
    <w:div w:id="17784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F0CE96A-F56C-4FE0-BD33-3BB15C04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7277</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Knez</dc:creator>
  <cp:lastModifiedBy>Jurij Mezek</cp:lastModifiedBy>
  <cp:revision>2</cp:revision>
  <dcterms:created xsi:type="dcterms:W3CDTF">2020-04-24T10:15:00Z</dcterms:created>
  <dcterms:modified xsi:type="dcterms:W3CDTF">2020-04-24T10:15:00Z</dcterms:modified>
</cp:coreProperties>
</file>