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7A99" w14:textId="77777777" w:rsidR="00CA678E" w:rsidRPr="002D49BD" w:rsidRDefault="00CA678E"/>
    <w:p w14:paraId="50F9F6CE" w14:textId="77777777" w:rsidR="00CA678E" w:rsidRPr="002D49BD" w:rsidRDefault="00CA678E"/>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146"/>
        <w:gridCol w:w="1184"/>
        <w:gridCol w:w="377"/>
        <w:gridCol w:w="118"/>
        <w:gridCol w:w="188"/>
        <w:gridCol w:w="385"/>
        <w:gridCol w:w="223"/>
        <w:gridCol w:w="80"/>
        <w:gridCol w:w="567"/>
        <w:gridCol w:w="1561"/>
      </w:tblGrid>
      <w:tr w:rsidR="00CA678E" w:rsidRPr="002D49BD" w14:paraId="1F782530" w14:textId="77777777" w:rsidTr="00CA678E">
        <w:trPr>
          <w:gridAfter w:val="6"/>
          <w:wAfter w:w="3004" w:type="dxa"/>
        </w:trPr>
        <w:tc>
          <w:tcPr>
            <w:tcW w:w="6096" w:type="dxa"/>
            <w:gridSpan w:val="8"/>
          </w:tcPr>
          <w:p w14:paraId="207E11A8" w14:textId="77777777" w:rsidR="00CA678E" w:rsidRPr="002D49BD" w:rsidRDefault="00EC1FF3" w:rsidP="001015F7">
            <w:pPr>
              <w:pStyle w:val="Neotevilenodstavek"/>
              <w:spacing w:before="0" w:after="0" w:line="260" w:lineRule="exact"/>
              <w:jc w:val="left"/>
              <w:rPr>
                <w:sz w:val="20"/>
                <w:szCs w:val="20"/>
              </w:rPr>
            </w:pPr>
            <w:r w:rsidRPr="002D49BD">
              <w:rPr>
                <w:sz w:val="20"/>
                <w:szCs w:val="20"/>
              </w:rPr>
              <w:t xml:space="preserve">Številka: </w:t>
            </w:r>
            <w:r w:rsidR="00B258B4" w:rsidRPr="00B258B4">
              <w:rPr>
                <w:sz w:val="20"/>
                <w:szCs w:val="20"/>
              </w:rPr>
              <w:t>007-268/2021</w:t>
            </w:r>
          </w:p>
        </w:tc>
      </w:tr>
      <w:tr w:rsidR="00CA678E" w:rsidRPr="002D49BD" w14:paraId="69F8D764" w14:textId="77777777" w:rsidTr="00CA678E">
        <w:trPr>
          <w:gridAfter w:val="6"/>
          <w:wAfter w:w="3004" w:type="dxa"/>
        </w:trPr>
        <w:tc>
          <w:tcPr>
            <w:tcW w:w="6096" w:type="dxa"/>
            <w:gridSpan w:val="8"/>
          </w:tcPr>
          <w:p w14:paraId="5F375D08" w14:textId="77777777" w:rsidR="00CA678E" w:rsidRPr="002D49BD" w:rsidRDefault="00CA678E" w:rsidP="002D0FAF">
            <w:pPr>
              <w:pStyle w:val="Neotevilenodstavek"/>
              <w:spacing w:before="0" w:after="0" w:line="260" w:lineRule="exact"/>
              <w:jc w:val="left"/>
              <w:rPr>
                <w:sz w:val="20"/>
                <w:szCs w:val="20"/>
              </w:rPr>
            </w:pPr>
            <w:r w:rsidRPr="002D49BD">
              <w:rPr>
                <w:sz w:val="20"/>
                <w:szCs w:val="20"/>
              </w:rPr>
              <w:t xml:space="preserve">Ljubljana, </w:t>
            </w:r>
            <w:r w:rsidR="002D0FAF">
              <w:rPr>
                <w:sz w:val="20"/>
                <w:szCs w:val="20"/>
                <w:highlight w:val="yellow"/>
              </w:rPr>
              <w:t>XX</w:t>
            </w:r>
            <w:r w:rsidR="00CB040C" w:rsidRPr="00CB040C">
              <w:rPr>
                <w:sz w:val="20"/>
                <w:szCs w:val="20"/>
                <w:highlight w:val="yellow"/>
              </w:rPr>
              <w:t xml:space="preserve">. </w:t>
            </w:r>
            <w:r w:rsidR="002D0FAF">
              <w:rPr>
                <w:sz w:val="20"/>
                <w:szCs w:val="20"/>
                <w:highlight w:val="yellow"/>
              </w:rPr>
              <w:t>XX</w:t>
            </w:r>
            <w:r w:rsidR="001015F7" w:rsidRPr="00CB040C">
              <w:rPr>
                <w:sz w:val="20"/>
                <w:szCs w:val="20"/>
                <w:highlight w:val="yellow"/>
              </w:rPr>
              <w:t>. 2021</w:t>
            </w:r>
          </w:p>
        </w:tc>
      </w:tr>
      <w:tr w:rsidR="00CA678E" w:rsidRPr="002D49BD" w14:paraId="6E907C6E" w14:textId="77777777" w:rsidTr="00CA678E">
        <w:trPr>
          <w:gridAfter w:val="6"/>
          <w:wAfter w:w="3004" w:type="dxa"/>
        </w:trPr>
        <w:tc>
          <w:tcPr>
            <w:tcW w:w="6096" w:type="dxa"/>
            <w:gridSpan w:val="8"/>
          </w:tcPr>
          <w:p w14:paraId="0A6C0F38" w14:textId="77777777" w:rsidR="00CA678E" w:rsidRPr="002D49BD" w:rsidRDefault="00EC1FF3" w:rsidP="001015F7">
            <w:pPr>
              <w:pStyle w:val="Neotevilenodstavek"/>
              <w:spacing w:before="0" w:after="0" w:line="260" w:lineRule="exact"/>
              <w:jc w:val="left"/>
              <w:rPr>
                <w:sz w:val="20"/>
                <w:szCs w:val="20"/>
              </w:rPr>
            </w:pPr>
            <w:r w:rsidRPr="002D49BD">
              <w:rPr>
                <w:iCs/>
                <w:sz w:val="20"/>
                <w:szCs w:val="20"/>
              </w:rPr>
              <w:t xml:space="preserve">EVA </w:t>
            </w:r>
            <w:r w:rsidR="00221DF3" w:rsidRPr="00221DF3">
              <w:rPr>
                <w:iCs/>
                <w:sz w:val="20"/>
                <w:szCs w:val="20"/>
              </w:rPr>
              <w:t>2021-2550-0023</w:t>
            </w:r>
          </w:p>
        </w:tc>
      </w:tr>
      <w:tr w:rsidR="00CA678E" w:rsidRPr="002D49BD" w14:paraId="45C123CA" w14:textId="77777777" w:rsidTr="00CA678E">
        <w:trPr>
          <w:gridAfter w:val="6"/>
          <w:wAfter w:w="3004" w:type="dxa"/>
        </w:trPr>
        <w:tc>
          <w:tcPr>
            <w:tcW w:w="6096" w:type="dxa"/>
            <w:gridSpan w:val="8"/>
          </w:tcPr>
          <w:p w14:paraId="380284CB" w14:textId="77777777" w:rsidR="00CA678E" w:rsidRPr="002D49BD" w:rsidRDefault="00CA678E" w:rsidP="00416654">
            <w:pPr>
              <w:rPr>
                <w:rFonts w:cs="Arial"/>
                <w:szCs w:val="20"/>
              </w:rPr>
            </w:pPr>
          </w:p>
          <w:p w14:paraId="53AD2AE6" w14:textId="77777777" w:rsidR="00CA678E" w:rsidRPr="002D49BD" w:rsidRDefault="00CA678E" w:rsidP="00416654">
            <w:pPr>
              <w:rPr>
                <w:rFonts w:cs="Arial"/>
                <w:szCs w:val="20"/>
              </w:rPr>
            </w:pPr>
            <w:r w:rsidRPr="002D49BD">
              <w:rPr>
                <w:rFonts w:cs="Arial"/>
                <w:szCs w:val="20"/>
              </w:rPr>
              <w:t>GENERALNI SEKRETARIAT VLADE REPUBLIKE SLOVENIJE</w:t>
            </w:r>
          </w:p>
          <w:p w14:paraId="35539A83" w14:textId="77777777" w:rsidR="00CA678E" w:rsidRPr="002D49BD" w:rsidRDefault="00E36430" w:rsidP="00416654">
            <w:pPr>
              <w:rPr>
                <w:rFonts w:cs="Arial"/>
                <w:szCs w:val="20"/>
              </w:rPr>
            </w:pPr>
            <w:hyperlink r:id="rId8" w:history="1">
              <w:r w:rsidR="00CA678E" w:rsidRPr="002D49BD">
                <w:rPr>
                  <w:rStyle w:val="Hiperpovezava"/>
                  <w:szCs w:val="20"/>
                </w:rPr>
                <w:t>Gp.gs@gov.si</w:t>
              </w:r>
            </w:hyperlink>
          </w:p>
          <w:p w14:paraId="635B6F13" w14:textId="77777777" w:rsidR="00CA678E" w:rsidRPr="002D49BD" w:rsidRDefault="00CA678E" w:rsidP="00416654">
            <w:pPr>
              <w:rPr>
                <w:rFonts w:cs="Arial"/>
                <w:szCs w:val="20"/>
              </w:rPr>
            </w:pPr>
          </w:p>
        </w:tc>
      </w:tr>
      <w:tr w:rsidR="00CA678E" w:rsidRPr="002D49BD" w14:paraId="56AD3335" w14:textId="77777777" w:rsidTr="00CA678E">
        <w:tc>
          <w:tcPr>
            <w:tcW w:w="9100" w:type="dxa"/>
            <w:gridSpan w:val="14"/>
          </w:tcPr>
          <w:p w14:paraId="1D86C7D7" w14:textId="77777777" w:rsidR="00CA678E" w:rsidRPr="002D49BD" w:rsidRDefault="00CA678E" w:rsidP="00EC1FF3">
            <w:pPr>
              <w:pStyle w:val="Naslovpredpisa"/>
              <w:spacing w:before="0" w:after="0" w:line="260" w:lineRule="exact"/>
              <w:jc w:val="left"/>
              <w:rPr>
                <w:sz w:val="20"/>
                <w:szCs w:val="20"/>
              </w:rPr>
            </w:pPr>
            <w:r w:rsidRPr="002D49BD">
              <w:rPr>
                <w:sz w:val="20"/>
                <w:szCs w:val="20"/>
              </w:rPr>
              <w:t>ZADEVA:</w:t>
            </w:r>
            <w:r w:rsidR="00EC1FF3" w:rsidRPr="002D49BD">
              <w:rPr>
                <w:sz w:val="20"/>
                <w:szCs w:val="20"/>
              </w:rPr>
              <w:t xml:space="preserve"> </w:t>
            </w:r>
            <w:r w:rsidR="00832120">
              <w:rPr>
                <w:sz w:val="20"/>
                <w:szCs w:val="20"/>
              </w:rPr>
              <w:t>Uredba</w:t>
            </w:r>
            <w:r w:rsidR="00832120" w:rsidRPr="00832120">
              <w:rPr>
                <w:sz w:val="20"/>
                <w:szCs w:val="20"/>
              </w:rPr>
              <w:t xml:space="preserve"> o metodologiji za oblikovanje neprofitne najemnine in določitvi višine subvencij najemnin </w:t>
            </w:r>
            <w:r w:rsidRPr="002D49BD">
              <w:rPr>
                <w:sz w:val="20"/>
                <w:szCs w:val="20"/>
              </w:rPr>
              <w:t xml:space="preserve">– predlog za obravnavo </w:t>
            </w:r>
          </w:p>
        </w:tc>
      </w:tr>
      <w:tr w:rsidR="00535B83" w:rsidRPr="002D49BD" w14:paraId="04EACBC9" w14:textId="77777777" w:rsidTr="00CA678E">
        <w:tc>
          <w:tcPr>
            <w:tcW w:w="9100" w:type="dxa"/>
            <w:gridSpan w:val="14"/>
          </w:tcPr>
          <w:p w14:paraId="4D92699F" w14:textId="77777777" w:rsidR="00535B83" w:rsidRPr="002D49BD" w:rsidRDefault="00535B83" w:rsidP="002E146A">
            <w:pPr>
              <w:pStyle w:val="Poglavje"/>
              <w:spacing w:before="0" w:after="0" w:line="260" w:lineRule="exact"/>
              <w:jc w:val="left"/>
              <w:rPr>
                <w:sz w:val="20"/>
                <w:szCs w:val="20"/>
              </w:rPr>
            </w:pPr>
            <w:r w:rsidRPr="002D49BD">
              <w:rPr>
                <w:sz w:val="20"/>
                <w:szCs w:val="20"/>
              </w:rPr>
              <w:t>1. Predlog sklepov vlade:</w:t>
            </w:r>
          </w:p>
        </w:tc>
      </w:tr>
      <w:tr w:rsidR="00535B83" w:rsidRPr="002D49BD" w14:paraId="2EA7F106" w14:textId="77777777" w:rsidTr="00CA678E">
        <w:tc>
          <w:tcPr>
            <w:tcW w:w="9100" w:type="dxa"/>
            <w:gridSpan w:val="14"/>
          </w:tcPr>
          <w:p w14:paraId="3E989B63" w14:textId="77777777" w:rsidR="00535B83" w:rsidRPr="002D49BD" w:rsidRDefault="00535B83" w:rsidP="002E146A">
            <w:pPr>
              <w:pStyle w:val="Neotevilenodstavek"/>
              <w:spacing w:line="240" w:lineRule="auto"/>
              <w:rPr>
                <w:sz w:val="20"/>
                <w:szCs w:val="20"/>
              </w:rPr>
            </w:pPr>
            <w:r w:rsidRPr="002D49BD">
              <w:rPr>
                <w:iCs/>
                <w:sz w:val="20"/>
                <w:szCs w:val="20"/>
              </w:rPr>
              <w:t xml:space="preserve">Na podlagi </w:t>
            </w:r>
            <w:r w:rsidR="00BA28C8">
              <w:rPr>
                <w:iCs/>
                <w:sz w:val="20"/>
                <w:szCs w:val="20"/>
              </w:rPr>
              <w:t>117. i</w:t>
            </w:r>
            <w:r w:rsidR="00AA6433" w:rsidRPr="00AA6433">
              <w:rPr>
                <w:iCs/>
                <w:sz w:val="20"/>
                <w:szCs w:val="20"/>
              </w:rPr>
              <w:t>n 118.</w:t>
            </w:r>
            <w:r w:rsidRPr="00AA6433">
              <w:rPr>
                <w:iCs/>
                <w:sz w:val="20"/>
                <w:szCs w:val="20"/>
              </w:rPr>
              <w:t xml:space="preserve">. člena </w:t>
            </w:r>
            <w:r w:rsidR="00AA6433" w:rsidRPr="00AA6433">
              <w:rPr>
                <w:iCs/>
                <w:sz w:val="20"/>
                <w:szCs w:val="20"/>
              </w:rPr>
              <w:t>Stanovanjskega zakona</w:t>
            </w:r>
            <w:r w:rsidRPr="00AA6433">
              <w:rPr>
                <w:iCs/>
                <w:sz w:val="20"/>
                <w:szCs w:val="20"/>
              </w:rPr>
              <w:t xml:space="preserve"> (Uradni list RS, št. </w:t>
            </w:r>
            <w:r w:rsidR="00AA6433" w:rsidRPr="00AA6433">
              <w:rPr>
                <w:iCs/>
                <w:sz w:val="20"/>
                <w:szCs w:val="20"/>
              </w:rPr>
              <w:t xml:space="preserve">69/03, 18/04 – ZVKSES, 47/06 – ZEN, 45/08 – </w:t>
            </w:r>
            <w:proofErr w:type="spellStart"/>
            <w:r w:rsidR="00AA6433" w:rsidRPr="00AA6433">
              <w:rPr>
                <w:iCs/>
                <w:sz w:val="20"/>
                <w:szCs w:val="20"/>
              </w:rPr>
              <w:t>ZVEtL</w:t>
            </w:r>
            <w:proofErr w:type="spellEnd"/>
            <w:r w:rsidR="00AA6433" w:rsidRPr="00AA6433">
              <w:rPr>
                <w:iCs/>
                <w:sz w:val="20"/>
                <w:szCs w:val="20"/>
              </w:rPr>
              <w:t xml:space="preserve">, 57/08, 62/10 – </w:t>
            </w:r>
            <w:proofErr w:type="spellStart"/>
            <w:r w:rsidR="00AA6433" w:rsidRPr="00AA6433">
              <w:rPr>
                <w:iCs/>
                <w:sz w:val="20"/>
                <w:szCs w:val="20"/>
              </w:rPr>
              <w:t>ZUPJS</w:t>
            </w:r>
            <w:proofErr w:type="spellEnd"/>
            <w:r w:rsidR="00AA6433" w:rsidRPr="00AA6433">
              <w:rPr>
                <w:iCs/>
                <w:sz w:val="20"/>
                <w:szCs w:val="20"/>
              </w:rPr>
              <w:t xml:space="preserve">, 56/11 – </w:t>
            </w:r>
            <w:proofErr w:type="spellStart"/>
            <w:r w:rsidR="00AA6433" w:rsidRPr="00AA6433">
              <w:rPr>
                <w:iCs/>
                <w:sz w:val="20"/>
                <w:szCs w:val="20"/>
              </w:rPr>
              <w:t>odl</w:t>
            </w:r>
            <w:proofErr w:type="spellEnd"/>
            <w:r w:rsidR="00AA6433" w:rsidRPr="00AA6433">
              <w:rPr>
                <w:iCs/>
                <w:sz w:val="20"/>
                <w:szCs w:val="20"/>
              </w:rPr>
              <w:t xml:space="preserve">. US, 87/11, 40/12 – </w:t>
            </w:r>
            <w:proofErr w:type="spellStart"/>
            <w:r w:rsidR="00AA6433" w:rsidRPr="00AA6433">
              <w:rPr>
                <w:iCs/>
                <w:sz w:val="20"/>
                <w:szCs w:val="20"/>
              </w:rPr>
              <w:t>ZUJF</w:t>
            </w:r>
            <w:proofErr w:type="spellEnd"/>
            <w:r w:rsidR="00AA6433" w:rsidRPr="00AA6433">
              <w:rPr>
                <w:iCs/>
                <w:sz w:val="20"/>
                <w:szCs w:val="20"/>
              </w:rPr>
              <w:t>, 1</w:t>
            </w:r>
            <w:r w:rsidR="00AA6433">
              <w:rPr>
                <w:iCs/>
                <w:sz w:val="20"/>
                <w:szCs w:val="20"/>
              </w:rPr>
              <w:t xml:space="preserve">4/17 – </w:t>
            </w:r>
            <w:proofErr w:type="spellStart"/>
            <w:r w:rsidR="00AA6433">
              <w:rPr>
                <w:iCs/>
                <w:sz w:val="20"/>
                <w:szCs w:val="20"/>
              </w:rPr>
              <w:t>odl</w:t>
            </w:r>
            <w:proofErr w:type="spellEnd"/>
            <w:r w:rsidR="00AA6433">
              <w:rPr>
                <w:iCs/>
                <w:sz w:val="20"/>
                <w:szCs w:val="20"/>
              </w:rPr>
              <w:t xml:space="preserve">. US, 27/17, 59/19, </w:t>
            </w:r>
            <w:r w:rsidR="00AA6433" w:rsidRPr="00AA6433">
              <w:rPr>
                <w:iCs/>
                <w:sz w:val="20"/>
                <w:szCs w:val="20"/>
              </w:rPr>
              <w:t>189/20 – ZFRO</w:t>
            </w:r>
            <w:r w:rsidR="00AA6433">
              <w:rPr>
                <w:iCs/>
                <w:sz w:val="20"/>
                <w:szCs w:val="20"/>
              </w:rPr>
              <w:t xml:space="preserve"> in </w:t>
            </w:r>
            <w:r w:rsidR="00991864">
              <w:rPr>
                <w:iCs/>
                <w:sz w:val="20"/>
                <w:szCs w:val="20"/>
              </w:rPr>
              <w:t>90/21</w:t>
            </w:r>
            <w:r w:rsidRPr="00AA6433">
              <w:rPr>
                <w:iCs/>
                <w:sz w:val="20"/>
                <w:szCs w:val="20"/>
              </w:rPr>
              <w:t>)</w:t>
            </w:r>
            <w:r w:rsidRPr="002D49BD">
              <w:rPr>
                <w:iCs/>
                <w:sz w:val="20"/>
                <w:szCs w:val="20"/>
              </w:rPr>
              <w:t xml:space="preserve">  je Vlada Republike Slovenije na …. seji dne ………. pod točko ….. sprejela naslednji:</w:t>
            </w:r>
          </w:p>
          <w:p w14:paraId="7F8DF5BC" w14:textId="77777777" w:rsidR="00535B83" w:rsidRPr="002D49BD" w:rsidRDefault="00535B83" w:rsidP="002E146A">
            <w:pPr>
              <w:widowControl w:val="0"/>
              <w:tabs>
                <w:tab w:val="left" w:pos="8504"/>
              </w:tabs>
              <w:autoSpaceDE w:val="0"/>
              <w:autoSpaceDN w:val="0"/>
              <w:adjustRightInd w:val="0"/>
              <w:jc w:val="center"/>
              <w:rPr>
                <w:rFonts w:cs="Arial"/>
                <w:szCs w:val="20"/>
              </w:rPr>
            </w:pPr>
          </w:p>
          <w:p w14:paraId="04192629" w14:textId="77777777" w:rsidR="00535B83" w:rsidRPr="002D49BD" w:rsidRDefault="00535B83" w:rsidP="002E146A">
            <w:pPr>
              <w:widowControl w:val="0"/>
              <w:tabs>
                <w:tab w:val="left" w:pos="8504"/>
              </w:tabs>
              <w:autoSpaceDE w:val="0"/>
              <w:autoSpaceDN w:val="0"/>
              <w:adjustRightInd w:val="0"/>
              <w:jc w:val="center"/>
              <w:rPr>
                <w:rFonts w:cs="Arial"/>
                <w:szCs w:val="20"/>
              </w:rPr>
            </w:pPr>
          </w:p>
          <w:p w14:paraId="53D9A5EB" w14:textId="77777777" w:rsidR="00535B83" w:rsidRPr="002D49BD" w:rsidRDefault="00535B83" w:rsidP="002E146A">
            <w:pPr>
              <w:widowControl w:val="0"/>
              <w:tabs>
                <w:tab w:val="left" w:pos="8504"/>
              </w:tabs>
              <w:autoSpaceDE w:val="0"/>
              <w:autoSpaceDN w:val="0"/>
              <w:adjustRightInd w:val="0"/>
              <w:jc w:val="center"/>
              <w:rPr>
                <w:rFonts w:cs="Arial"/>
                <w:szCs w:val="20"/>
              </w:rPr>
            </w:pPr>
            <w:r w:rsidRPr="002D49BD">
              <w:rPr>
                <w:rFonts w:cs="Arial"/>
                <w:szCs w:val="20"/>
              </w:rPr>
              <w:t>S K L E P :</w:t>
            </w:r>
          </w:p>
          <w:p w14:paraId="5FBF1CF5" w14:textId="77777777" w:rsidR="00535B83" w:rsidRPr="002D49BD" w:rsidRDefault="00535B83" w:rsidP="002E146A">
            <w:pPr>
              <w:widowControl w:val="0"/>
              <w:tabs>
                <w:tab w:val="left" w:pos="8504"/>
              </w:tabs>
              <w:autoSpaceDE w:val="0"/>
              <w:autoSpaceDN w:val="0"/>
              <w:adjustRightInd w:val="0"/>
              <w:jc w:val="center"/>
              <w:rPr>
                <w:rFonts w:cs="Arial"/>
                <w:szCs w:val="20"/>
              </w:rPr>
            </w:pPr>
          </w:p>
          <w:p w14:paraId="41C6D51F" w14:textId="77777777" w:rsidR="00535B83" w:rsidRPr="002D49BD" w:rsidRDefault="00535B83" w:rsidP="002E146A">
            <w:pPr>
              <w:widowControl w:val="0"/>
              <w:tabs>
                <w:tab w:val="left" w:pos="8504"/>
              </w:tabs>
              <w:autoSpaceDE w:val="0"/>
              <w:autoSpaceDN w:val="0"/>
              <w:adjustRightInd w:val="0"/>
              <w:jc w:val="center"/>
              <w:rPr>
                <w:rFonts w:cs="Arial"/>
                <w:szCs w:val="20"/>
              </w:rPr>
            </w:pPr>
          </w:p>
          <w:p w14:paraId="03EAD23E" w14:textId="77777777" w:rsidR="00535B83" w:rsidRPr="002D49BD" w:rsidRDefault="00535B83" w:rsidP="002E146A">
            <w:pPr>
              <w:widowControl w:val="0"/>
              <w:tabs>
                <w:tab w:val="left" w:pos="260"/>
              </w:tabs>
              <w:autoSpaceDE w:val="0"/>
              <w:autoSpaceDN w:val="0"/>
              <w:adjustRightInd w:val="0"/>
              <w:jc w:val="both"/>
              <w:rPr>
                <w:rFonts w:cs="Arial"/>
                <w:szCs w:val="20"/>
              </w:rPr>
            </w:pPr>
            <w:r w:rsidRPr="002D49BD">
              <w:rPr>
                <w:rFonts w:cs="Arial"/>
                <w:szCs w:val="20"/>
              </w:rPr>
              <w:t xml:space="preserve">Vlada Republike Slovenije izdaja Uredbo </w:t>
            </w:r>
            <w:r w:rsidR="001015F7" w:rsidRPr="001015F7">
              <w:rPr>
                <w:rFonts w:cs="Arial"/>
                <w:szCs w:val="20"/>
              </w:rPr>
              <w:t>o metodologiji za oblikovanje neprofitne najemnine in določitvi višine subvencij najemnin</w:t>
            </w:r>
            <w:r w:rsidR="00832120">
              <w:rPr>
                <w:rFonts w:cs="Arial"/>
                <w:szCs w:val="20"/>
              </w:rPr>
              <w:t>.</w:t>
            </w:r>
          </w:p>
          <w:p w14:paraId="62904F0A" w14:textId="77777777" w:rsidR="00535B83" w:rsidRPr="002D49BD" w:rsidRDefault="00535B83" w:rsidP="002E146A">
            <w:pPr>
              <w:widowControl w:val="0"/>
              <w:tabs>
                <w:tab w:val="left" w:pos="260"/>
              </w:tabs>
              <w:autoSpaceDE w:val="0"/>
              <w:autoSpaceDN w:val="0"/>
              <w:adjustRightInd w:val="0"/>
              <w:ind w:left="544" w:hanging="544"/>
              <w:jc w:val="both"/>
              <w:rPr>
                <w:rFonts w:cs="Arial"/>
                <w:szCs w:val="20"/>
              </w:rPr>
            </w:pPr>
          </w:p>
          <w:p w14:paraId="55352D84" w14:textId="77777777" w:rsidR="00535B83" w:rsidRPr="002D49BD" w:rsidRDefault="00535B83" w:rsidP="002E146A">
            <w:pPr>
              <w:widowControl w:val="0"/>
              <w:tabs>
                <w:tab w:val="left" w:pos="260"/>
              </w:tabs>
              <w:autoSpaceDE w:val="0"/>
              <w:autoSpaceDN w:val="0"/>
              <w:adjustRightInd w:val="0"/>
              <w:ind w:left="544" w:hanging="544"/>
              <w:jc w:val="both"/>
              <w:rPr>
                <w:rFonts w:cs="Arial"/>
                <w:szCs w:val="20"/>
              </w:rPr>
            </w:pPr>
          </w:p>
          <w:p w14:paraId="741FF698" w14:textId="77777777" w:rsidR="00535B83" w:rsidRPr="002D49BD" w:rsidRDefault="00535B83" w:rsidP="002E146A">
            <w:pPr>
              <w:widowControl w:val="0"/>
              <w:tabs>
                <w:tab w:val="left" w:pos="260"/>
              </w:tabs>
              <w:autoSpaceDE w:val="0"/>
              <w:autoSpaceDN w:val="0"/>
              <w:adjustRightInd w:val="0"/>
              <w:ind w:left="544" w:hanging="544"/>
              <w:jc w:val="both"/>
              <w:rPr>
                <w:rFonts w:cs="Arial"/>
                <w:szCs w:val="20"/>
              </w:rPr>
            </w:pPr>
          </w:p>
          <w:p w14:paraId="094416AA" w14:textId="77777777" w:rsidR="001015F7" w:rsidRPr="00640AD9" w:rsidRDefault="001015F7" w:rsidP="001015F7">
            <w:pPr>
              <w:ind w:left="3600"/>
              <w:jc w:val="both"/>
              <w:rPr>
                <w:szCs w:val="20"/>
              </w:rPr>
            </w:pPr>
            <w:r w:rsidRPr="00640AD9">
              <w:rPr>
                <w:szCs w:val="20"/>
              </w:rPr>
              <w:t xml:space="preserve">     </w:t>
            </w:r>
            <w:r>
              <w:rPr>
                <w:szCs w:val="20"/>
              </w:rPr>
              <w:t xml:space="preserve">           </w:t>
            </w:r>
            <w:r w:rsidRPr="00640AD9">
              <w:rPr>
                <w:szCs w:val="20"/>
              </w:rPr>
              <w:t xml:space="preserve">            Dr. Božo PREDALIČ</w:t>
            </w:r>
          </w:p>
          <w:p w14:paraId="14262B89" w14:textId="77777777" w:rsidR="001015F7" w:rsidRPr="00640AD9" w:rsidRDefault="001015F7" w:rsidP="001015F7">
            <w:pPr>
              <w:ind w:left="3600"/>
              <w:jc w:val="both"/>
              <w:rPr>
                <w:szCs w:val="20"/>
              </w:rPr>
            </w:pPr>
            <w:r w:rsidRPr="00640AD9">
              <w:rPr>
                <w:szCs w:val="20"/>
              </w:rPr>
              <w:t xml:space="preserve">       </w:t>
            </w:r>
            <w:r>
              <w:rPr>
                <w:szCs w:val="20"/>
              </w:rPr>
              <w:t xml:space="preserve">         </w:t>
            </w:r>
            <w:r w:rsidRPr="00640AD9">
              <w:rPr>
                <w:szCs w:val="20"/>
              </w:rPr>
              <w:t xml:space="preserve">       GENERALNI SEKRETAR</w:t>
            </w:r>
          </w:p>
          <w:p w14:paraId="1760EDF4" w14:textId="77777777" w:rsidR="00535B83" w:rsidRPr="002D49BD" w:rsidRDefault="00535B83" w:rsidP="002E146A">
            <w:pPr>
              <w:widowControl w:val="0"/>
              <w:autoSpaceDE w:val="0"/>
              <w:autoSpaceDN w:val="0"/>
              <w:adjustRightInd w:val="0"/>
              <w:rPr>
                <w:rFonts w:cs="Arial"/>
                <w:szCs w:val="20"/>
              </w:rPr>
            </w:pPr>
          </w:p>
          <w:p w14:paraId="7C95728B" w14:textId="77777777" w:rsidR="00535B83" w:rsidRPr="002D49BD" w:rsidRDefault="00535B83" w:rsidP="002E146A">
            <w:pPr>
              <w:widowControl w:val="0"/>
              <w:autoSpaceDE w:val="0"/>
              <w:autoSpaceDN w:val="0"/>
              <w:adjustRightInd w:val="0"/>
              <w:rPr>
                <w:rFonts w:cs="Arial"/>
                <w:szCs w:val="20"/>
              </w:rPr>
            </w:pPr>
          </w:p>
          <w:p w14:paraId="0C583496" w14:textId="77777777" w:rsidR="00535B83" w:rsidRPr="002D49BD" w:rsidRDefault="00535B83" w:rsidP="002E146A">
            <w:pPr>
              <w:widowControl w:val="0"/>
              <w:autoSpaceDE w:val="0"/>
              <w:autoSpaceDN w:val="0"/>
              <w:adjustRightInd w:val="0"/>
              <w:rPr>
                <w:rFonts w:cs="Arial"/>
                <w:szCs w:val="20"/>
              </w:rPr>
            </w:pPr>
            <w:r w:rsidRPr="002D49BD">
              <w:rPr>
                <w:rFonts w:cs="Arial"/>
                <w:szCs w:val="20"/>
              </w:rPr>
              <w:t>Prejmejo:</w:t>
            </w:r>
          </w:p>
          <w:p w14:paraId="2EE61C29" w14:textId="77777777" w:rsidR="00AB211C" w:rsidRDefault="0044225A" w:rsidP="002E146A">
            <w:pPr>
              <w:widowControl w:val="0"/>
              <w:tabs>
                <w:tab w:val="left" w:pos="260"/>
                <w:tab w:val="left" w:pos="8504"/>
              </w:tabs>
              <w:autoSpaceDE w:val="0"/>
              <w:autoSpaceDN w:val="0"/>
              <w:adjustRightInd w:val="0"/>
              <w:ind w:left="397" w:hanging="227"/>
              <w:jc w:val="both"/>
              <w:rPr>
                <w:rStyle w:val="Hiperpovezava"/>
                <w:rFonts w:cs="Arial"/>
                <w:color w:val="auto"/>
                <w:szCs w:val="20"/>
                <w:u w:val="none"/>
              </w:rPr>
            </w:pPr>
            <w:r>
              <w:rPr>
                <w:rFonts w:cs="Arial"/>
                <w:szCs w:val="20"/>
              </w:rPr>
              <w:t xml:space="preserve">- </w:t>
            </w:r>
            <w:r w:rsidR="00535B83" w:rsidRPr="002D49BD">
              <w:rPr>
                <w:rFonts w:cs="Arial"/>
                <w:szCs w:val="20"/>
              </w:rPr>
              <w:tab/>
              <w:t>Ministrstvo za</w:t>
            </w:r>
            <w:r>
              <w:rPr>
                <w:rFonts w:cs="Arial"/>
                <w:szCs w:val="20"/>
              </w:rPr>
              <w:t xml:space="preserve"> okolje in prost</w:t>
            </w:r>
            <w:r w:rsidR="00AB211C" w:rsidRPr="002D49BD">
              <w:rPr>
                <w:rFonts w:cs="Arial"/>
                <w:szCs w:val="20"/>
              </w:rPr>
              <w:t>o</w:t>
            </w:r>
            <w:r>
              <w:rPr>
                <w:rFonts w:cs="Arial"/>
                <w:szCs w:val="20"/>
              </w:rPr>
              <w:t>r</w:t>
            </w:r>
            <w:r w:rsidR="00AB211C" w:rsidRPr="002D49BD">
              <w:rPr>
                <w:rFonts w:cs="Arial"/>
                <w:szCs w:val="20"/>
              </w:rPr>
              <w:t xml:space="preserve"> (</w:t>
            </w:r>
            <w:hyperlink r:id="rId9" w:history="1">
              <w:r w:rsidR="00AB211C" w:rsidRPr="008E4955">
                <w:rPr>
                  <w:rStyle w:val="Hiperpovezava"/>
                  <w:rFonts w:cs="Arial"/>
                  <w:color w:val="auto"/>
                  <w:szCs w:val="20"/>
                  <w:u w:val="none"/>
                </w:rPr>
                <w:t>gp.mop@gov.si</w:t>
              </w:r>
            </w:hyperlink>
            <w:r w:rsidR="008E4955" w:rsidRPr="008E4955">
              <w:rPr>
                <w:rStyle w:val="Hiperpovezava"/>
                <w:rFonts w:cs="Arial"/>
                <w:color w:val="auto"/>
                <w:szCs w:val="20"/>
                <w:u w:val="none"/>
              </w:rPr>
              <w:t>)</w:t>
            </w:r>
          </w:p>
          <w:p w14:paraId="4CD3172D" w14:textId="77777777" w:rsidR="00A97EF2" w:rsidRDefault="00A97EF2" w:rsidP="00A97EF2">
            <w:pPr>
              <w:widowControl w:val="0"/>
              <w:tabs>
                <w:tab w:val="left" w:pos="260"/>
                <w:tab w:val="left" w:pos="8504"/>
              </w:tabs>
              <w:autoSpaceDE w:val="0"/>
              <w:autoSpaceDN w:val="0"/>
              <w:adjustRightInd w:val="0"/>
              <w:ind w:left="397" w:hanging="227"/>
              <w:jc w:val="both"/>
              <w:rPr>
                <w:rStyle w:val="Hiperpovezava"/>
                <w:rFonts w:cs="Arial"/>
                <w:color w:val="auto"/>
                <w:szCs w:val="20"/>
                <w:u w:val="none"/>
              </w:rPr>
            </w:pPr>
            <w:r>
              <w:rPr>
                <w:rFonts w:cs="Arial"/>
                <w:szCs w:val="20"/>
              </w:rPr>
              <w:t xml:space="preserve">- </w:t>
            </w:r>
            <w:r w:rsidRPr="002D49BD">
              <w:rPr>
                <w:rFonts w:cs="Arial"/>
                <w:szCs w:val="20"/>
              </w:rPr>
              <w:tab/>
              <w:t>Ministrstvo za</w:t>
            </w:r>
            <w:r>
              <w:rPr>
                <w:rFonts w:cs="Arial"/>
                <w:szCs w:val="20"/>
              </w:rPr>
              <w:t xml:space="preserve"> d</w:t>
            </w:r>
            <w:r w:rsidRPr="00A97EF2">
              <w:rPr>
                <w:rFonts w:cs="Arial"/>
                <w:szCs w:val="20"/>
              </w:rPr>
              <w:t xml:space="preserve">elo, družino, socialne zadeve in enake možnosti </w:t>
            </w:r>
            <w:r w:rsidRPr="002D49BD">
              <w:rPr>
                <w:rFonts w:cs="Arial"/>
                <w:szCs w:val="20"/>
              </w:rPr>
              <w:t>(</w:t>
            </w:r>
            <w:hyperlink r:id="rId10" w:history="1">
              <w:r w:rsidRPr="00D71422">
                <w:rPr>
                  <w:rStyle w:val="Hiperpovezava"/>
                  <w:rFonts w:cs="Arial"/>
                  <w:color w:val="auto"/>
                  <w:szCs w:val="20"/>
                  <w:u w:val="none"/>
                </w:rPr>
                <w:t>gp.mddsz@gov.si</w:t>
              </w:r>
            </w:hyperlink>
            <w:r w:rsidRPr="008E4955">
              <w:rPr>
                <w:rStyle w:val="Hiperpovezava"/>
                <w:rFonts w:cs="Arial"/>
                <w:color w:val="auto"/>
                <w:szCs w:val="20"/>
                <w:u w:val="none"/>
              </w:rPr>
              <w:t>)</w:t>
            </w:r>
          </w:p>
          <w:p w14:paraId="592D01B9" w14:textId="77777777" w:rsidR="00535B83" w:rsidRPr="002D49BD" w:rsidRDefault="00AB211C" w:rsidP="00147E71">
            <w:pPr>
              <w:widowControl w:val="0"/>
              <w:tabs>
                <w:tab w:val="left" w:pos="260"/>
                <w:tab w:val="left" w:pos="8504"/>
              </w:tabs>
              <w:autoSpaceDE w:val="0"/>
              <w:autoSpaceDN w:val="0"/>
              <w:adjustRightInd w:val="0"/>
              <w:ind w:left="397" w:hanging="227"/>
              <w:jc w:val="both"/>
              <w:rPr>
                <w:rFonts w:cs="Arial"/>
                <w:szCs w:val="20"/>
              </w:rPr>
            </w:pPr>
            <w:r w:rsidRPr="002D49BD">
              <w:rPr>
                <w:rFonts w:cs="Arial"/>
                <w:szCs w:val="20"/>
              </w:rPr>
              <w:t xml:space="preserve">- </w:t>
            </w:r>
            <w:r w:rsidR="00535B83" w:rsidRPr="002D49BD">
              <w:rPr>
                <w:rFonts w:cs="Arial"/>
                <w:szCs w:val="20"/>
              </w:rPr>
              <w:tab/>
              <w:t>Služba Vlade RS za zakonodajo (</w:t>
            </w:r>
            <w:hyperlink r:id="rId11" w:history="1">
              <w:r w:rsidR="00535B83" w:rsidRPr="0044225A">
                <w:rPr>
                  <w:rFonts w:cs="Arial"/>
                  <w:szCs w:val="20"/>
                </w:rPr>
                <w:t>gp.svz@gov.si</w:t>
              </w:r>
            </w:hyperlink>
            <w:r w:rsidR="00535B83" w:rsidRPr="002D49BD">
              <w:rPr>
                <w:rFonts w:cs="Arial"/>
                <w:szCs w:val="20"/>
              </w:rPr>
              <w:t>)</w:t>
            </w:r>
            <w:r w:rsidR="008E4955">
              <w:rPr>
                <w:rFonts w:cs="Arial"/>
                <w:szCs w:val="20"/>
              </w:rPr>
              <w:t xml:space="preserve"> </w:t>
            </w:r>
          </w:p>
        </w:tc>
      </w:tr>
      <w:tr w:rsidR="00215EF2" w:rsidRPr="002D49BD" w14:paraId="627042DF" w14:textId="77777777" w:rsidTr="00CA678E">
        <w:tc>
          <w:tcPr>
            <w:tcW w:w="9100" w:type="dxa"/>
            <w:gridSpan w:val="14"/>
          </w:tcPr>
          <w:p w14:paraId="7BD62C59" w14:textId="77777777" w:rsidR="00215EF2" w:rsidRPr="002D49BD" w:rsidRDefault="00215EF2" w:rsidP="00416654">
            <w:pPr>
              <w:pStyle w:val="Neotevilenodstavek"/>
              <w:spacing w:before="0" w:after="0" w:line="260" w:lineRule="exact"/>
              <w:rPr>
                <w:b/>
                <w:sz w:val="20"/>
                <w:szCs w:val="20"/>
              </w:rPr>
            </w:pPr>
            <w:r w:rsidRPr="002D49BD">
              <w:rPr>
                <w:b/>
                <w:sz w:val="20"/>
                <w:szCs w:val="20"/>
              </w:rPr>
              <w:t>2. Predlog za obravnavo predloga zakona po nujnem ali skrajšanem postopku v državnem zboru z obrazložitvijo razlogov:</w:t>
            </w:r>
          </w:p>
        </w:tc>
      </w:tr>
      <w:tr w:rsidR="00215EF2" w:rsidRPr="002D49BD" w14:paraId="46B4CC08" w14:textId="77777777" w:rsidTr="00CA678E">
        <w:tc>
          <w:tcPr>
            <w:tcW w:w="9100" w:type="dxa"/>
            <w:gridSpan w:val="14"/>
          </w:tcPr>
          <w:p w14:paraId="07C25EA0" w14:textId="77777777" w:rsidR="00215EF2" w:rsidRPr="002D49BD" w:rsidRDefault="00215EF2" w:rsidP="00416654">
            <w:pPr>
              <w:pStyle w:val="Neotevilenodstavek"/>
              <w:spacing w:before="0" w:after="0" w:line="260" w:lineRule="exact"/>
              <w:rPr>
                <w:b/>
                <w:sz w:val="20"/>
                <w:szCs w:val="20"/>
              </w:rPr>
            </w:pPr>
            <w:r w:rsidRPr="002D49BD">
              <w:rPr>
                <w:b/>
                <w:sz w:val="20"/>
                <w:szCs w:val="20"/>
              </w:rPr>
              <w:t>∕</w:t>
            </w:r>
          </w:p>
        </w:tc>
      </w:tr>
      <w:tr w:rsidR="00535B83" w:rsidRPr="002D49BD" w14:paraId="3A259BD5" w14:textId="77777777" w:rsidTr="00CA678E">
        <w:tc>
          <w:tcPr>
            <w:tcW w:w="9100" w:type="dxa"/>
            <w:gridSpan w:val="14"/>
          </w:tcPr>
          <w:p w14:paraId="210439AE" w14:textId="77777777" w:rsidR="00535B83" w:rsidRPr="002D49BD" w:rsidRDefault="00535B83" w:rsidP="00416654">
            <w:pPr>
              <w:pStyle w:val="Neotevilenodstavek"/>
              <w:spacing w:before="0" w:after="0" w:line="260" w:lineRule="exact"/>
              <w:rPr>
                <w:b/>
                <w:iCs/>
                <w:sz w:val="20"/>
                <w:szCs w:val="20"/>
              </w:rPr>
            </w:pPr>
            <w:proofErr w:type="spellStart"/>
            <w:r w:rsidRPr="002D49BD">
              <w:rPr>
                <w:b/>
                <w:sz w:val="20"/>
                <w:szCs w:val="20"/>
              </w:rPr>
              <w:t>3.a</w:t>
            </w:r>
            <w:proofErr w:type="spellEnd"/>
            <w:r w:rsidRPr="002D49BD">
              <w:rPr>
                <w:b/>
                <w:sz w:val="20"/>
                <w:szCs w:val="20"/>
              </w:rPr>
              <w:t xml:space="preserve"> Osebe, odgovorne za strokovno pripravo in usklajenost gradiva:</w:t>
            </w:r>
          </w:p>
        </w:tc>
      </w:tr>
      <w:tr w:rsidR="00535B83" w:rsidRPr="002D49BD" w14:paraId="43D72561" w14:textId="77777777" w:rsidTr="00CA678E">
        <w:tc>
          <w:tcPr>
            <w:tcW w:w="9100" w:type="dxa"/>
            <w:gridSpan w:val="14"/>
          </w:tcPr>
          <w:p w14:paraId="4FD80921" w14:textId="77777777" w:rsidR="001015F7" w:rsidRPr="00640AD9" w:rsidRDefault="001015F7" w:rsidP="001015F7">
            <w:pPr>
              <w:pStyle w:val="Neotevilenodstavek"/>
              <w:spacing w:before="0" w:after="0" w:line="260" w:lineRule="exact"/>
              <w:rPr>
                <w:color w:val="000000"/>
                <w:sz w:val="20"/>
                <w:szCs w:val="20"/>
              </w:rPr>
            </w:pPr>
            <w:r>
              <w:rPr>
                <w:color w:val="000000"/>
                <w:sz w:val="20"/>
                <w:szCs w:val="20"/>
              </w:rPr>
              <w:t>- m</w:t>
            </w:r>
            <w:r w:rsidRPr="00640AD9">
              <w:rPr>
                <w:color w:val="000000"/>
                <w:sz w:val="20"/>
                <w:szCs w:val="20"/>
              </w:rPr>
              <w:t>ag. Andrej Vizjak, minister</w:t>
            </w:r>
          </w:p>
          <w:p w14:paraId="2DE30D28" w14:textId="77777777" w:rsidR="001015F7" w:rsidRPr="00640AD9" w:rsidRDefault="001015F7" w:rsidP="001015F7">
            <w:pPr>
              <w:pStyle w:val="Neotevilenodstavek"/>
              <w:spacing w:before="0" w:after="0" w:line="260" w:lineRule="exact"/>
              <w:rPr>
                <w:color w:val="000000"/>
                <w:sz w:val="20"/>
                <w:szCs w:val="20"/>
              </w:rPr>
            </w:pPr>
            <w:r>
              <w:rPr>
                <w:color w:val="000000"/>
                <w:sz w:val="20"/>
                <w:szCs w:val="20"/>
              </w:rPr>
              <w:t xml:space="preserve">- </w:t>
            </w:r>
            <w:r w:rsidRPr="00640AD9">
              <w:rPr>
                <w:color w:val="000000"/>
                <w:sz w:val="20"/>
                <w:szCs w:val="20"/>
              </w:rPr>
              <w:t>Robert Rožac, državni sekretar</w:t>
            </w:r>
          </w:p>
          <w:p w14:paraId="7A7C8D05" w14:textId="77777777" w:rsidR="001015F7" w:rsidRPr="00640AD9" w:rsidRDefault="001015F7" w:rsidP="001015F7">
            <w:pPr>
              <w:pStyle w:val="Neotevilenodstavek"/>
              <w:spacing w:before="0" w:after="0" w:line="260" w:lineRule="exact"/>
              <w:rPr>
                <w:color w:val="000000"/>
                <w:sz w:val="20"/>
                <w:szCs w:val="20"/>
              </w:rPr>
            </w:pPr>
            <w:r>
              <w:rPr>
                <w:color w:val="000000"/>
                <w:sz w:val="20"/>
                <w:szCs w:val="20"/>
              </w:rPr>
              <w:t xml:space="preserve">- </w:t>
            </w:r>
            <w:r w:rsidRPr="00640AD9">
              <w:rPr>
                <w:color w:val="000000"/>
                <w:sz w:val="20"/>
                <w:szCs w:val="20"/>
              </w:rPr>
              <w:t xml:space="preserve">Georgi </w:t>
            </w:r>
            <w:proofErr w:type="spellStart"/>
            <w:r w:rsidRPr="00640AD9">
              <w:rPr>
                <w:color w:val="000000"/>
                <w:sz w:val="20"/>
                <w:szCs w:val="20"/>
              </w:rPr>
              <w:t>Bangiev</w:t>
            </w:r>
            <w:proofErr w:type="spellEnd"/>
            <w:r w:rsidRPr="00640AD9">
              <w:rPr>
                <w:color w:val="000000"/>
                <w:sz w:val="20"/>
                <w:szCs w:val="20"/>
              </w:rPr>
              <w:t>, generalni direktor Direktorata za prostor, graditev in stanovanja</w:t>
            </w:r>
          </w:p>
          <w:p w14:paraId="173B02B0" w14:textId="77777777" w:rsidR="001015F7" w:rsidRPr="009C5569" w:rsidRDefault="001015F7" w:rsidP="001015F7">
            <w:pPr>
              <w:pStyle w:val="Neotevilenodstavek"/>
              <w:spacing w:before="0" w:after="0" w:line="260" w:lineRule="exact"/>
              <w:rPr>
                <w:color w:val="000000"/>
                <w:sz w:val="20"/>
                <w:szCs w:val="20"/>
              </w:rPr>
            </w:pPr>
            <w:r>
              <w:rPr>
                <w:color w:val="000000"/>
                <w:sz w:val="20"/>
                <w:szCs w:val="20"/>
              </w:rPr>
              <w:t xml:space="preserve">- </w:t>
            </w:r>
            <w:r w:rsidRPr="00640AD9">
              <w:rPr>
                <w:color w:val="000000"/>
                <w:sz w:val="20"/>
                <w:szCs w:val="20"/>
              </w:rPr>
              <w:t>Anita Hočevar</w:t>
            </w:r>
            <w:r>
              <w:rPr>
                <w:color w:val="000000"/>
                <w:sz w:val="20"/>
                <w:szCs w:val="20"/>
              </w:rPr>
              <w:t xml:space="preserve"> </w:t>
            </w:r>
            <w:r w:rsidRPr="00640AD9">
              <w:rPr>
                <w:color w:val="000000"/>
                <w:sz w:val="20"/>
                <w:szCs w:val="20"/>
              </w:rPr>
              <w:t>Frantar, vodja</w:t>
            </w:r>
            <w:r>
              <w:rPr>
                <w:color w:val="000000"/>
                <w:sz w:val="20"/>
                <w:szCs w:val="20"/>
              </w:rPr>
              <w:t>, Sektor</w:t>
            </w:r>
            <w:r w:rsidRPr="009C5569">
              <w:rPr>
                <w:color w:val="000000"/>
                <w:sz w:val="20"/>
                <w:szCs w:val="20"/>
              </w:rPr>
              <w:t xml:space="preserve"> za stanovanja</w:t>
            </w:r>
          </w:p>
          <w:p w14:paraId="4DE2D5CE" w14:textId="77777777" w:rsidR="001015F7" w:rsidRPr="009C5569" w:rsidRDefault="001015F7" w:rsidP="001015F7">
            <w:pPr>
              <w:pStyle w:val="Neotevilenodstavek"/>
              <w:spacing w:before="0" w:after="0" w:line="260" w:lineRule="exact"/>
              <w:rPr>
                <w:color w:val="000000"/>
                <w:sz w:val="20"/>
                <w:szCs w:val="20"/>
              </w:rPr>
            </w:pPr>
            <w:r w:rsidRPr="009C5569">
              <w:rPr>
                <w:color w:val="000000"/>
                <w:sz w:val="20"/>
                <w:szCs w:val="20"/>
              </w:rPr>
              <w:t>- mag. Matija Polajnar, podsekretar</w:t>
            </w:r>
            <w:r>
              <w:rPr>
                <w:color w:val="000000"/>
                <w:sz w:val="20"/>
                <w:szCs w:val="20"/>
              </w:rPr>
              <w:t>, Sektor</w:t>
            </w:r>
            <w:r w:rsidRPr="009C5569">
              <w:rPr>
                <w:color w:val="000000"/>
                <w:sz w:val="20"/>
                <w:szCs w:val="20"/>
              </w:rPr>
              <w:t xml:space="preserve"> za stanovanja</w:t>
            </w:r>
          </w:p>
          <w:p w14:paraId="12311EB3" w14:textId="77777777" w:rsidR="001015F7" w:rsidRPr="009C5569" w:rsidRDefault="001015F7" w:rsidP="001015F7">
            <w:pPr>
              <w:pStyle w:val="Neotevilenodstavek"/>
              <w:spacing w:before="0" w:after="0" w:line="260" w:lineRule="exact"/>
              <w:rPr>
                <w:color w:val="000000"/>
                <w:sz w:val="20"/>
                <w:szCs w:val="20"/>
              </w:rPr>
            </w:pPr>
            <w:r w:rsidRPr="009C5569">
              <w:rPr>
                <w:color w:val="000000"/>
                <w:sz w:val="20"/>
                <w:szCs w:val="20"/>
              </w:rPr>
              <w:t>- Alen Červ, višji svetovalec</w:t>
            </w:r>
            <w:r>
              <w:rPr>
                <w:color w:val="000000"/>
                <w:sz w:val="20"/>
                <w:szCs w:val="20"/>
              </w:rPr>
              <w:t>, Sektor</w:t>
            </w:r>
            <w:r w:rsidRPr="009C5569">
              <w:rPr>
                <w:color w:val="000000"/>
                <w:sz w:val="20"/>
                <w:szCs w:val="20"/>
              </w:rPr>
              <w:t xml:space="preserve"> za stanovanja</w:t>
            </w:r>
          </w:p>
          <w:p w14:paraId="01736ADC" w14:textId="77777777" w:rsidR="00AB211C" w:rsidRPr="002D49BD" w:rsidRDefault="001015F7" w:rsidP="001015F7">
            <w:pPr>
              <w:pStyle w:val="Neotevilenodstavek"/>
              <w:spacing w:before="0" w:after="0" w:line="260" w:lineRule="exact"/>
              <w:rPr>
                <w:iCs/>
                <w:sz w:val="20"/>
                <w:szCs w:val="20"/>
              </w:rPr>
            </w:pPr>
            <w:r w:rsidRPr="009C5569">
              <w:rPr>
                <w:color w:val="000000"/>
                <w:sz w:val="20"/>
                <w:szCs w:val="20"/>
              </w:rPr>
              <w:t>- Martina Gramc, podsekretarka</w:t>
            </w:r>
            <w:r>
              <w:rPr>
                <w:color w:val="000000"/>
                <w:sz w:val="20"/>
                <w:szCs w:val="20"/>
              </w:rPr>
              <w:t>,</w:t>
            </w:r>
            <w:r w:rsidRPr="009C5569">
              <w:rPr>
                <w:color w:val="000000"/>
                <w:sz w:val="20"/>
                <w:szCs w:val="20"/>
              </w:rPr>
              <w:t xml:space="preserve"> Služb</w:t>
            </w:r>
            <w:r>
              <w:rPr>
                <w:color w:val="000000"/>
                <w:sz w:val="20"/>
                <w:szCs w:val="20"/>
              </w:rPr>
              <w:t>a</w:t>
            </w:r>
            <w:r w:rsidRPr="009C5569">
              <w:rPr>
                <w:color w:val="000000"/>
                <w:sz w:val="20"/>
                <w:szCs w:val="20"/>
              </w:rPr>
              <w:t xml:space="preserve"> za upravne zadeve</w:t>
            </w:r>
          </w:p>
        </w:tc>
      </w:tr>
      <w:tr w:rsidR="00535B83" w:rsidRPr="002D49BD" w14:paraId="3BF74920" w14:textId="77777777" w:rsidTr="00CA678E">
        <w:tc>
          <w:tcPr>
            <w:tcW w:w="9100" w:type="dxa"/>
            <w:gridSpan w:val="14"/>
          </w:tcPr>
          <w:p w14:paraId="2FC1E191" w14:textId="77777777" w:rsidR="00535B83" w:rsidRPr="002D49BD" w:rsidRDefault="00535B83" w:rsidP="00416654">
            <w:pPr>
              <w:pStyle w:val="Neotevilenodstavek"/>
              <w:spacing w:before="0" w:after="0" w:line="260" w:lineRule="exact"/>
              <w:rPr>
                <w:b/>
                <w:iCs/>
                <w:sz w:val="20"/>
                <w:szCs w:val="20"/>
              </w:rPr>
            </w:pPr>
            <w:proofErr w:type="spellStart"/>
            <w:r w:rsidRPr="002D49BD">
              <w:rPr>
                <w:b/>
                <w:iCs/>
                <w:sz w:val="20"/>
                <w:szCs w:val="20"/>
              </w:rPr>
              <w:t>3.b</w:t>
            </w:r>
            <w:proofErr w:type="spellEnd"/>
            <w:r w:rsidRPr="002D49BD">
              <w:rPr>
                <w:b/>
                <w:iCs/>
                <w:sz w:val="20"/>
                <w:szCs w:val="20"/>
              </w:rPr>
              <w:t xml:space="preserve"> Zunanji strokovnjaki, ki so </w:t>
            </w:r>
            <w:r w:rsidRPr="002D49BD">
              <w:rPr>
                <w:b/>
                <w:sz w:val="20"/>
                <w:szCs w:val="20"/>
              </w:rPr>
              <w:t>sodelovali pri pripravi dela ali celotnega gradiva:</w:t>
            </w:r>
          </w:p>
        </w:tc>
      </w:tr>
      <w:tr w:rsidR="00535B83" w:rsidRPr="002D49BD" w14:paraId="28DFADC3" w14:textId="77777777" w:rsidTr="00CA678E">
        <w:tc>
          <w:tcPr>
            <w:tcW w:w="9100" w:type="dxa"/>
            <w:gridSpan w:val="14"/>
          </w:tcPr>
          <w:p w14:paraId="18BD151D" w14:textId="77777777" w:rsidR="00952899" w:rsidRPr="002D49BD" w:rsidRDefault="001015F7" w:rsidP="00416654">
            <w:pPr>
              <w:pStyle w:val="Neotevilenodstavek"/>
              <w:spacing w:before="0" w:after="0" w:line="260" w:lineRule="exact"/>
              <w:rPr>
                <w:iCs/>
                <w:sz w:val="20"/>
                <w:szCs w:val="20"/>
              </w:rPr>
            </w:pPr>
            <w:r>
              <w:rPr>
                <w:iCs/>
                <w:sz w:val="20"/>
                <w:szCs w:val="20"/>
              </w:rPr>
              <w:t>/</w:t>
            </w:r>
          </w:p>
        </w:tc>
      </w:tr>
      <w:tr w:rsidR="00535B83" w:rsidRPr="002D49BD" w14:paraId="032BBE24" w14:textId="77777777" w:rsidTr="00CA678E">
        <w:tc>
          <w:tcPr>
            <w:tcW w:w="9100" w:type="dxa"/>
            <w:gridSpan w:val="14"/>
          </w:tcPr>
          <w:p w14:paraId="2819DC78" w14:textId="77777777" w:rsidR="00535B83" w:rsidRPr="002D49BD" w:rsidRDefault="00535B83" w:rsidP="00416654">
            <w:pPr>
              <w:pStyle w:val="Neotevilenodstavek"/>
              <w:spacing w:before="0" w:after="0" w:line="260" w:lineRule="exact"/>
              <w:rPr>
                <w:b/>
                <w:iCs/>
                <w:sz w:val="20"/>
                <w:szCs w:val="20"/>
              </w:rPr>
            </w:pPr>
            <w:r w:rsidRPr="002D49BD">
              <w:rPr>
                <w:b/>
                <w:sz w:val="20"/>
                <w:szCs w:val="20"/>
              </w:rPr>
              <w:t>4. Predstavniki vlade, ki bodo sodelovali pri delu državnega zbora:</w:t>
            </w:r>
          </w:p>
        </w:tc>
      </w:tr>
      <w:tr w:rsidR="00535B83" w:rsidRPr="002D49BD" w14:paraId="194D3A4D" w14:textId="77777777" w:rsidTr="00CA678E">
        <w:tc>
          <w:tcPr>
            <w:tcW w:w="9100" w:type="dxa"/>
            <w:gridSpan w:val="14"/>
          </w:tcPr>
          <w:p w14:paraId="402A16B0" w14:textId="77777777" w:rsidR="001015F7" w:rsidRPr="00640AD9" w:rsidRDefault="001015F7" w:rsidP="001015F7">
            <w:pPr>
              <w:pStyle w:val="Neotevilenodstavek"/>
              <w:spacing w:before="0" w:after="0" w:line="260" w:lineRule="exact"/>
              <w:rPr>
                <w:color w:val="000000"/>
                <w:sz w:val="20"/>
                <w:szCs w:val="20"/>
              </w:rPr>
            </w:pPr>
            <w:r>
              <w:rPr>
                <w:color w:val="000000"/>
                <w:sz w:val="20"/>
                <w:szCs w:val="20"/>
              </w:rPr>
              <w:lastRenderedPageBreak/>
              <w:t>- m</w:t>
            </w:r>
            <w:r w:rsidRPr="00640AD9">
              <w:rPr>
                <w:color w:val="000000"/>
                <w:sz w:val="20"/>
                <w:szCs w:val="20"/>
              </w:rPr>
              <w:t>ag. Andrej Vizjak, minister</w:t>
            </w:r>
          </w:p>
          <w:p w14:paraId="29B52CD7" w14:textId="77777777" w:rsidR="001015F7" w:rsidRPr="00640AD9" w:rsidRDefault="001015F7" w:rsidP="001015F7">
            <w:pPr>
              <w:pStyle w:val="Neotevilenodstavek"/>
              <w:spacing w:before="0" w:after="0" w:line="260" w:lineRule="exact"/>
              <w:rPr>
                <w:color w:val="000000"/>
                <w:sz w:val="20"/>
                <w:szCs w:val="20"/>
              </w:rPr>
            </w:pPr>
            <w:r>
              <w:rPr>
                <w:color w:val="000000"/>
                <w:sz w:val="20"/>
                <w:szCs w:val="20"/>
              </w:rPr>
              <w:t xml:space="preserve">- </w:t>
            </w:r>
            <w:r w:rsidRPr="00640AD9">
              <w:rPr>
                <w:color w:val="000000"/>
                <w:sz w:val="20"/>
                <w:szCs w:val="20"/>
              </w:rPr>
              <w:t>Robert Rožac, državni sekretar</w:t>
            </w:r>
          </w:p>
          <w:p w14:paraId="268608DA" w14:textId="77777777" w:rsidR="001015F7" w:rsidRPr="00640AD9" w:rsidRDefault="001015F7" w:rsidP="001015F7">
            <w:pPr>
              <w:pStyle w:val="Neotevilenodstavek"/>
              <w:spacing w:before="0" w:after="0" w:line="260" w:lineRule="exact"/>
              <w:rPr>
                <w:color w:val="000000"/>
                <w:sz w:val="20"/>
                <w:szCs w:val="20"/>
              </w:rPr>
            </w:pPr>
            <w:r>
              <w:rPr>
                <w:color w:val="000000"/>
                <w:sz w:val="20"/>
                <w:szCs w:val="20"/>
              </w:rPr>
              <w:t xml:space="preserve">- </w:t>
            </w:r>
            <w:r w:rsidRPr="00640AD9">
              <w:rPr>
                <w:color w:val="000000"/>
                <w:sz w:val="20"/>
                <w:szCs w:val="20"/>
              </w:rPr>
              <w:t xml:space="preserve">Georgi </w:t>
            </w:r>
            <w:proofErr w:type="spellStart"/>
            <w:r w:rsidRPr="00640AD9">
              <w:rPr>
                <w:color w:val="000000"/>
                <w:sz w:val="20"/>
                <w:szCs w:val="20"/>
              </w:rPr>
              <w:t>Bangiev</w:t>
            </w:r>
            <w:proofErr w:type="spellEnd"/>
            <w:r w:rsidRPr="00640AD9">
              <w:rPr>
                <w:color w:val="000000"/>
                <w:sz w:val="20"/>
                <w:szCs w:val="20"/>
              </w:rPr>
              <w:t>, generalni direktor Direktorata za prostor, graditev in stanovanja</w:t>
            </w:r>
          </w:p>
          <w:p w14:paraId="7F0E5760" w14:textId="77777777" w:rsidR="001015F7" w:rsidRPr="009C5569" w:rsidRDefault="001015F7" w:rsidP="001015F7">
            <w:pPr>
              <w:pStyle w:val="Neotevilenodstavek"/>
              <w:spacing w:before="0" w:after="0" w:line="260" w:lineRule="exact"/>
              <w:rPr>
                <w:color w:val="000000"/>
                <w:sz w:val="20"/>
                <w:szCs w:val="20"/>
              </w:rPr>
            </w:pPr>
            <w:r>
              <w:rPr>
                <w:color w:val="000000"/>
                <w:sz w:val="20"/>
                <w:szCs w:val="20"/>
              </w:rPr>
              <w:t xml:space="preserve">- </w:t>
            </w:r>
            <w:r w:rsidRPr="00640AD9">
              <w:rPr>
                <w:color w:val="000000"/>
                <w:sz w:val="20"/>
                <w:szCs w:val="20"/>
              </w:rPr>
              <w:t>Anita Hočevar</w:t>
            </w:r>
            <w:r>
              <w:rPr>
                <w:color w:val="000000"/>
                <w:sz w:val="20"/>
                <w:szCs w:val="20"/>
              </w:rPr>
              <w:t xml:space="preserve"> </w:t>
            </w:r>
            <w:r w:rsidRPr="00640AD9">
              <w:rPr>
                <w:color w:val="000000"/>
                <w:sz w:val="20"/>
                <w:szCs w:val="20"/>
              </w:rPr>
              <w:t>Frantar, vodja</w:t>
            </w:r>
            <w:r>
              <w:rPr>
                <w:color w:val="000000"/>
                <w:sz w:val="20"/>
                <w:szCs w:val="20"/>
              </w:rPr>
              <w:t>, Sektor</w:t>
            </w:r>
            <w:r w:rsidRPr="009C5569">
              <w:rPr>
                <w:color w:val="000000"/>
                <w:sz w:val="20"/>
                <w:szCs w:val="20"/>
              </w:rPr>
              <w:t xml:space="preserve"> za stanovanja</w:t>
            </w:r>
          </w:p>
          <w:p w14:paraId="643B0951" w14:textId="77777777" w:rsidR="001015F7" w:rsidRPr="009C5569" w:rsidRDefault="001015F7" w:rsidP="001015F7">
            <w:pPr>
              <w:pStyle w:val="Neotevilenodstavek"/>
              <w:spacing w:before="0" w:after="0" w:line="260" w:lineRule="exact"/>
              <w:rPr>
                <w:color w:val="000000"/>
                <w:sz w:val="20"/>
                <w:szCs w:val="20"/>
              </w:rPr>
            </w:pPr>
            <w:r w:rsidRPr="009C5569">
              <w:rPr>
                <w:color w:val="000000"/>
                <w:sz w:val="20"/>
                <w:szCs w:val="20"/>
              </w:rPr>
              <w:t>- mag. Matija Polajnar, podsekretar</w:t>
            </w:r>
            <w:r>
              <w:rPr>
                <w:color w:val="000000"/>
                <w:sz w:val="20"/>
                <w:szCs w:val="20"/>
              </w:rPr>
              <w:t>, Sektor</w:t>
            </w:r>
            <w:r w:rsidRPr="009C5569">
              <w:rPr>
                <w:color w:val="000000"/>
                <w:sz w:val="20"/>
                <w:szCs w:val="20"/>
              </w:rPr>
              <w:t xml:space="preserve"> za stanovanja</w:t>
            </w:r>
          </w:p>
          <w:p w14:paraId="47E1439D" w14:textId="77777777" w:rsidR="001015F7" w:rsidRPr="009C5569" w:rsidRDefault="001015F7" w:rsidP="001015F7">
            <w:pPr>
              <w:pStyle w:val="Neotevilenodstavek"/>
              <w:spacing w:before="0" w:after="0" w:line="260" w:lineRule="exact"/>
              <w:rPr>
                <w:color w:val="000000"/>
                <w:sz w:val="20"/>
                <w:szCs w:val="20"/>
              </w:rPr>
            </w:pPr>
            <w:r w:rsidRPr="009C5569">
              <w:rPr>
                <w:color w:val="000000"/>
                <w:sz w:val="20"/>
                <w:szCs w:val="20"/>
              </w:rPr>
              <w:t>- Alen Červ, višji svetovalec</w:t>
            </w:r>
            <w:r>
              <w:rPr>
                <w:color w:val="000000"/>
                <w:sz w:val="20"/>
                <w:szCs w:val="20"/>
              </w:rPr>
              <w:t>, Sektor</w:t>
            </w:r>
            <w:r w:rsidRPr="009C5569">
              <w:rPr>
                <w:color w:val="000000"/>
                <w:sz w:val="20"/>
                <w:szCs w:val="20"/>
              </w:rPr>
              <w:t xml:space="preserve"> za stanovanja</w:t>
            </w:r>
          </w:p>
          <w:p w14:paraId="27EBBA0D" w14:textId="77777777" w:rsidR="008A4B3C" w:rsidRPr="002D49BD" w:rsidRDefault="001015F7" w:rsidP="001015F7">
            <w:pPr>
              <w:pStyle w:val="Neotevilenodstavek"/>
              <w:spacing w:before="0" w:after="0" w:line="260" w:lineRule="exact"/>
              <w:rPr>
                <w:b/>
                <w:color w:val="FF0000"/>
                <w:sz w:val="20"/>
                <w:szCs w:val="20"/>
              </w:rPr>
            </w:pPr>
            <w:r w:rsidRPr="009C5569">
              <w:rPr>
                <w:color w:val="000000"/>
                <w:sz w:val="20"/>
                <w:szCs w:val="20"/>
              </w:rPr>
              <w:t>- Martina Gramc, podsekretarka</w:t>
            </w:r>
            <w:r>
              <w:rPr>
                <w:color w:val="000000"/>
                <w:sz w:val="20"/>
                <w:szCs w:val="20"/>
              </w:rPr>
              <w:t>,</w:t>
            </w:r>
            <w:r w:rsidRPr="009C5569">
              <w:rPr>
                <w:color w:val="000000"/>
                <w:sz w:val="20"/>
                <w:szCs w:val="20"/>
              </w:rPr>
              <w:t xml:space="preserve"> Služb</w:t>
            </w:r>
            <w:r>
              <w:rPr>
                <w:color w:val="000000"/>
                <w:sz w:val="20"/>
                <w:szCs w:val="20"/>
              </w:rPr>
              <w:t>a</w:t>
            </w:r>
            <w:r w:rsidRPr="009C5569">
              <w:rPr>
                <w:color w:val="000000"/>
                <w:sz w:val="20"/>
                <w:szCs w:val="20"/>
              </w:rPr>
              <w:t xml:space="preserve"> za upravne zadeve</w:t>
            </w:r>
          </w:p>
        </w:tc>
      </w:tr>
      <w:tr w:rsidR="00535B83" w:rsidRPr="002D49BD" w14:paraId="32B3E8DB" w14:textId="77777777" w:rsidTr="00CA678E">
        <w:tc>
          <w:tcPr>
            <w:tcW w:w="9100" w:type="dxa"/>
            <w:gridSpan w:val="14"/>
          </w:tcPr>
          <w:p w14:paraId="42C24A94" w14:textId="77777777" w:rsidR="00535B83" w:rsidRPr="002D49BD" w:rsidRDefault="00535B83" w:rsidP="00416654">
            <w:pPr>
              <w:pStyle w:val="Oddelek"/>
              <w:numPr>
                <w:ilvl w:val="0"/>
                <w:numId w:val="0"/>
              </w:numPr>
              <w:spacing w:before="0" w:after="0" w:line="260" w:lineRule="exact"/>
              <w:jc w:val="left"/>
              <w:rPr>
                <w:sz w:val="20"/>
                <w:szCs w:val="20"/>
              </w:rPr>
            </w:pPr>
            <w:r w:rsidRPr="002D49BD">
              <w:rPr>
                <w:sz w:val="20"/>
                <w:szCs w:val="20"/>
              </w:rPr>
              <w:t>5. Kratek povzetek gradiva:</w:t>
            </w:r>
          </w:p>
        </w:tc>
      </w:tr>
      <w:tr w:rsidR="00535B83" w:rsidRPr="002D49BD" w14:paraId="2ECAF9B4" w14:textId="77777777" w:rsidTr="00CA678E">
        <w:tc>
          <w:tcPr>
            <w:tcW w:w="9100" w:type="dxa"/>
            <w:gridSpan w:val="14"/>
          </w:tcPr>
          <w:p w14:paraId="3AF8F246" w14:textId="77777777" w:rsidR="00535B83" w:rsidRDefault="00E508FF" w:rsidP="00E508FF">
            <w:pPr>
              <w:pStyle w:val="Neotevilenodstavek"/>
              <w:spacing w:before="0" w:after="0" w:line="260" w:lineRule="exact"/>
              <w:rPr>
                <w:iCs/>
                <w:sz w:val="20"/>
                <w:szCs w:val="20"/>
              </w:rPr>
            </w:pPr>
            <w:r w:rsidRPr="00E508FF">
              <w:rPr>
                <w:iCs/>
                <w:sz w:val="20"/>
                <w:szCs w:val="20"/>
              </w:rPr>
              <w:t>Podlago</w:t>
            </w:r>
            <w:r w:rsidR="00416D7D" w:rsidRPr="00E508FF">
              <w:rPr>
                <w:iCs/>
                <w:sz w:val="20"/>
                <w:szCs w:val="20"/>
              </w:rPr>
              <w:t xml:space="preserve"> za izdajo </w:t>
            </w:r>
            <w:r w:rsidR="00EE62BB">
              <w:rPr>
                <w:iCs/>
                <w:sz w:val="20"/>
                <w:szCs w:val="20"/>
              </w:rPr>
              <w:t>Uredbe</w:t>
            </w:r>
            <w:r w:rsidRPr="00E508FF">
              <w:rPr>
                <w:iCs/>
                <w:sz w:val="20"/>
                <w:szCs w:val="20"/>
              </w:rPr>
              <w:t xml:space="preserve"> </w:t>
            </w:r>
            <w:r w:rsidR="00EE62BB">
              <w:rPr>
                <w:iCs/>
                <w:sz w:val="20"/>
                <w:szCs w:val="20"/>
              </w:rPr>
              <w:t xml:space="preserve">o </w:t>
            </w:r>
            <w:r w:rsidRPr="00E508FF">
              <w:rPr>
                <w:iCs/>
                <w:sz w:val="20"/>
                <w:szCs w:val="20"/>
              </w:rPr>
              <w:t xml:space="preserve">metodologiji za oblikovanje neprofitne najemnine in določitvi </w:t>
            </w:r>
            <w:r w:rsidR="00EE62BB">
              <w:rPr>
                <w:iCs/>
                <w:sz w:val="20"/>
                <w:szCs w:val="20"/>
              </w:rPr>
              <w:t>višine subvencij najemnin dajeta 117. In 118. člen</w:t>
            </w:r>
            <w:r w:rsidRPr="00E508FF">
              <w:rPr>
                <w:iCs/>
                <w:sz w:val="20"/>
                <w:szCs w:val="20"/>
              </w:rPr>
              <w:t xml:space="preserve"> Stanovanjskega zakona</w:t>
            </w:r>
            <w:r w:rsidR="00EE62BB">
              <w:rPr>
                <w:iCs/>
                <w:sz w:val="20"/>
                <w:szCs w:val="20"/>
              </w:rPr>
              <w:t xml:space="preserve"> </w:t>
            </w:r>
            <w:r w:rsidR="00EE62BB" w:rsidRPr="00EE62BB">
              <w:rPr>
                <w:iCs/>
                <w:sz w:val="20"/>
                <w:szCs w:val="20"/>
              </w:rPr>
              <w:t xml:space="preserve">(Uradni list RS, št. 69/03, 18/04 – ZVKSES, 47/06 – ZEN, 45/08 – </w:t>
            </w:r>
            <w:proofErr w:type="spellStart"/>
            <w:r w:rsidR="00EE62BB" w:rsidRPr="00EE62BB">
              <w:rPr>
                <w:iCs/>
                <w:sz w:val="20"/>
                <w:szCs w:val="20"/>
              </w:rPr>
              <w:t>ZVEtL</w:t>
            </w:r>
            <w:proofErr w:type="spellEnd"/>
            <w:r w:rsidR="00EE62BB" w:rsidRPr="00EE62BB">
              <w:rPr>
                <w:iCs/>
                <w:sz w:val="20"/>
                <w:szCs w:val="20"/>
              </w:rPr>
              <w:t xml:space="preserve">, 57/08, 62/10 – </w:t>
            </w:r>
            <w:proofErr w:type="spellStart"/>
            <w:r w:rsidR="00EE62BB" w:rsidRPr="00EE62BB">
              <w:rPr>
                <w:iCs/>
                <w:sz w:val="20"/>
                <w:szCs w:val="20"/>
              </w:rPr>
              <w:t>ZUPJS</w:t>
            </w:r>
            <w:proofErr w:type="spellEnd"/>
            <w:r w:rsidR="00EE62BB" w:rsidRPr="00EE62BB">
              <w:rPr>
                <w:iCs/>
                <w:sz w:val="20"/>
                <w:szCs w:val="20"/>
              </w:rPr>
              <w:t xml:space="preserve">, 56/11 – </w:t>
            </w:r>
            <w:proofErr w:type="spellStart"/>
            <w:r w:rsidR="00EE62BB" w:rsidRPr="00EE62BB">
              <w:rPr>
                <w:iCs/>
                <w:sz w:val="20"/>
                <w:szCs w:val="20"/>
              </w:rPr>
              <w:t>odl</w:t>
            </w:r>
            <w:proofErr w:type="spellEnd"/>
            <w:r w:rsidR="00EE62BB" w:rsidRPr="00EE62BB">
              <w:rPr>
                <w:iCs/>
                <w:sz w:val="20"/>
                <w:szCs w:val="20"/>
              </w:rPr>
              <w:t xml:space="preserve">. US, 87/11, 40/12 – </w:t>
            </w:r>
            <w:proofErr w:type="spellStart"/>
            <w:r w:rsidR="00EE62BB" w:rsidRPr="00EE62BB">
              <w:rPr>
                <w:iCs/>
                <w:sz w:val="20"/>
                <w:szCs w:val="20"/>
              </w:rPr>
              <w:t>ZUJF</w:t>
            </w:r>
            <w:proofErr w:type="spellEnd"/>
            <w:r w:rsidR="00EE62BB" w:rsidRPr="00EE62BB">
              <w:rPr>
                <w:iCs/>
                <w:sz w:val="20"/>
                <w:szCs w:val="20"/>
              </w:rPr>
              <w:t xml:space="preserve">, 14/17 – </w:t>
            </w:r>
            <w:proofErr w:type="spellStart"/>
            <w:r w:rsidR="00EE62BB" w:rsidRPr="00EE62BB">
              <w:rPr>
                <w:iCs/>
                <w:sz w:val="20"/>
                <w:szCs w:val="20"/>
              </w:rPr>
              <w:t>odl</w:t>
            </w:r>
            <w:proofErr w:type="spellEnd"/>
            <w:r w:rsidR="00EE62BB" w:rsidRPr="00EE62BB">
              <w:rPr>
                <w:iCs/>
                <w:sz w:val="20"/>
                <w:szCs w:val="20"/>
              </w:rPr>
              <w:t xml:space="preserve">. US, 27/17, 59/19, 189/20 – ZFRO in </w:t>
            </w:r>
            <w:r w:rsidR="00991864">
              <w:rPr>
                <w:iCs/>
                <w:sz w:val="20"/>
                <w:szCs w:val="20"/>
              </w:rPr>
              <w:t>90/21</w:t>
            </w:r>
            <w:r w:rsidR="00EE62BB" w:rsidRPr="00EE62BB">
              <w:rPr>
                <w:iCs/>
                <w:sz w:val="20"/>
                <w:szCs w:val="20"/>
              </w:rPr>
              <w:t>)</w:t>
            </w:r>
            <w:r w:rsidR="00416D7D" w:rsidRPr="00E508FF">
              <w:rPr>
                <w:iCs/>
                <w:sz w:val="20"/>
                <w:szCs w:val="20"/>
              </w:rPr>
              <w:t xml:space="preserve">. </w:t>
            </w:r>
          </w:p>
          <w:p w14:paraId="7B7343AA" w14:textId="77777777" w:rsidR="00E508FF" w:rsidRDefault="00E508FF" w:rsidP="00E508FF">
            <w:pPr>
              <w:pStyle w:val="Neotevilenodstavek"/>
              <w:spacing w:before="0" w:after="0" w:line="260" w:lineRule="exact"/>
              <w:rPr>
                <w:iCs/>
                <w:sz w:val="20"/>
                <w:szCs w:val="20"/>
              </w:rPr>
            </w:pPr>
            <w:r>
              <w:rPr>
                <w:iCs/>
                <w:sz w:val="20"/>
                <w:szCs w:val="20"/>
              </w:rPr>
              <w:t xml:space="preserve">Uredba na področju oblikovanja neprofitne najemnine </w:t>
            </w:r>
            <w:r w:rsidRPr="00E508FF">
              <w:rPr>
                <w:iCs/>
                <w:sz w:val="20"/>
                <w:szCs w:val="20"/>
              </w:rPr>
              <w:t>določa metodologijo za oblikovanje neprofitne najemnine in način izračun</w:t>
            </w:r>
            <w:r>
              <w:rPr>
                <w:iCs/>
                <w:sz w:val="20"/>
                <w:szCs w:val="20"/>
              </w:rPr>
              <w:t>a najvišje neprofitne najemnine.</w:t>
            </w:r>
            <w:r w:rsidRPr="00E508FF">
              <w:rPr>
                <w:iCs/>
                <w:sz w:val="20"/>
                <w:szCs w:val="20"/>
              </w:rPr>
              <w:t xml:space="preserve"> </w:t>
            </w:r>
            <w:r>
              <w:rPr>
                <w:iCs/>
                <w:sz w:val="20"/>
                <w:szCs w:val="20"/>
              </w:rPr>
              <w:t xml:space="preserve">Določa tudi </w:t>
            </w:r>
            <w:r w:rsidRPr="00E508FF">
              <w:rPr>
                <w:iCs/>
                <w:sz w:val="20"/>
                <w:szCs w:val="20"/>
              </w:rPr>
              <w:t xml:space="preserve">vpliv lokacije stanovanja na višino neprofitne najemnine </w:t>
            </w:r>
            <w:r>
              <w:rPr>
                <w:iCs/>
                <w:sz w:val="20"/>
                <w:szCs w:val="20"/>
              </w:rPr>
              <w:t>s pripadajočim lokacijskim faktorjem ter način dodelitve pripadajočega lokacijskega faktorja za posamezno stanovanje.</w:t>
            </w:r>
          </w:p>
          <w:p w14:paraId="0FF7C19A" w14:textId="77777777" w:rsidR="00E508FF" w:rsidRPr="002D49BD" w:rsidRDefault="00E508FF" w:rsidP="00E508FF">
            <w:pPr>
              <w:pStyle w:val="Neotevilenodstavek"/>
              <w:spacing w:before="0" w:after="0" w:line="260" w:lineRule="exact"/>
              <w:rPr>
                <w:iCs/>
                <w:sz w:val="20"/>
                <w:szCs w:val="20"/>
              </w:rPr>
            </w:pPr>
            <w:r>
              <w:rPr>
                <w:iCs/>
                <w:sz w:val="20"/>
                <w:szCs w:val="20"/>
              </w:rPr>
              <w:t xml:space="preserve">Na področju subvencioniranja najemnin Uredba </w:t>
            </w:r>
            <w:r w:rsidR="00844519">
              <w:rPr>
                <w:iCs/>
                <w:sz w:val="20"/>
                <w:szCs w:val="20"/>
              </w:rPr>
              <w:t>opredeljuje</w:t>
            </w:r>
            <w:r>
              <w:rPr>
                <w:iCs/>
                <w:sz w:val="20"/>
                <w:szCs w:val="20"/>
              </w:rPr>
              <w:t xml:space="preserve"> </w:t>
            </w:r>
            <w:r w:rsidR="00844519">
              <w:rPr>
                <w:iCs/>
                <w:sz w:val="20"/>
                <w:szCs w:val="20"/>
              </w:rPr>
              <w:t>način izračuna višine</w:t>
            </w:r>
            <w:r w:rsidRPr="00E508FF">
              <w:rPr>
                <w:iCs/>
                <w:sz w:val="20"/>
                <w:szCs w:val="20"/>
              </w:rPr>
              <w:t xml:space="preserve"> su</w:t>
            </w:r>
            <w:r w:rsidR="00844519">
              <w:rPr>
                <w:iCs/>
                <w:sz w:val="20"/>
                <w:szCs w:val="20"/>
              </w:rPr>
              <w:t>bvencije neprofitne najemnine in višine</w:t>
            </w:r>
            <w:r w:rsidRPr="00E508FF">
              <w:rPr>
                <w:iCs/>
                <w:sz w:val="20"/>
                <w:szCs w:val="20"/>
              </w:rPr>
              <w:t xml:space="preserve"> subve</w:t>
            </w:r>
            <w:r>
              <w:rPr>
                <w:iCs/>
                <w:sz w:val="20"/>
                <w:szCs w:val="20"/>
              </w:rPr>
              <w:t xml:space="preserve">ncije k plačilu tržne najemnine ter </w:t>
            </w:r>
            <w:r w:rsidR="00844519">
              <w:rPr>
                <w:iCs/>
                <w:sz w:val="20"/>
                <w:szCs w:val="20"/>
              </w:rPr>
              <w:t xml:space="preserve">določa </w:t>
            </w:r>
            <w:r w:rsidRPr="00E508FF">
              <w:rPr>
                <w:iCs/>
                <w:sz w:val="20"/>
                <w:szCs w:val="20"/>
              </w:rPr>
              <w:t>naj</w:t>
            </w:r>
            <w:r>
              <w:rPr>
                <w:iCs/>
                <w:sz w:val="20"/>
                <w:szCs w:val="20"/>
              </w:rPr>
              <w:t>višje priznane tržne najemnine za posamezne statistični regije, ki so sestavni del metodologije izračuna subvencije k plačilu tržne najemnine.</w:t>
            </w:r>
          </w:p>
        </w:tc>
      </w:tr>
      <w:tr w:rsidR="00535B83" w:rsidRPr="002D49BD" w14:paraId="3C771A9F" w14:textId="77777777" w:rsidTr="00CA678E">
        <w:tc>
          <w:tcPr>
            <w:tcW w:w="9100" w:type="dxa"/>
            <w:gridSpan w:val="14"/>
          </w:tcPr>
          <w:p w14:paraId="3BDA302E" w14:textId="77777777" w:rsidR="00535B83" w:rsidRPr="002D49BD" w:rsidRDefault="00535B83" w:rsidP="00416654">
            <w:pPr>
              <w:pStyle w:val="Oddelek"/>
              <w:numPr>
                <w:ilvl w:val="0"/>
                <w:numId w:val="0"/>
              </w:numPr>
              <w:spacing w:before="0" w:after="0" w:line="260" w:lineRule="exact"/>
              <w:jc w:val="left"/>
              <w:rPr>
                <w:sz w:val="20"/>
                <w:szCs w:val="20"/>
              </w:rPr>
            </w:pPr>
            <w:r w:rsidRPr="002D49BD">
              <w:rPr>
                <w:sz w:val="20"/>
                <w:szCs w:val="20"/>
              </w:rPr>
              <w:t>6. Presoja posledic za:</w:t>
            </w:r>
          </w:p>
        </w:tc>
      </w:tr>
      <w:tr w:rsidR="00535B83" w:rsidRPr="002D49BD" w14:paraId="5E5C42A8" w14:textId="77777777" w:rsidTr="00CA678E">
        <w:tc>
          <w:tcPr>
            <w:tcW w:w="1448" w:type="dxa"/>
          </w:tcPr>
          <w:p w14:paraId="40450B4C" w14:textId="77777777" w:rsidR="00535B83" w:rsidRPr="002D49BD" w:rsidRDefault="00535B83" w:rsidP="00416654">
            <w:pPr>
              <w:pStyle w:val="Neotevilenodstavek"/>
              <w:spacing w:before="0" w:after="0" w:line="260" w:lineRule="exact"/>
              <w:ind w:left="360"/>
              <w:rPr>
                <w:iCs/>
                <w:sz w:val="20"/>
                <w:szCs w:val="20"/>
              </w:rPr>
            </w:pPr>
            <w:r w:rsidRPr="002D49BD">
              <w:rPr>
                <w:iCs/>
                <w:sz w:val="20"/>
                <w:szCs w:val="20"/>
              </w:rPr>
              <w:t>a)</w:t>
            </w:r>
          </w:p>
        </w:tc>
        <w:tc>
          <w:tcPr>
            <w:tcW w:w="5444" w:type="dxa"/>
            <w:gridSpan w:val="10"/>
          </w:tcPr>
          <w:p w14:paraId="33CF2BAA" w14:textId="77777777" w:rsidR="00535B83" w:rsidRPr="002D49BD" w:rsidRDefault="00535B83" w:rsidP="00416654">
            <w:pPr>
              <w:pStyle w:val="Neotevilenodstavek"/>
              <w:spacing w:before="0" w:after="0" w:line="260" w:lineRule="exact"/>
              <w:rPr>
                <w:sz w:val="20"/>
                <w:szCs w:val="20"/>
              </w:rPr>
            </w:pPr>
            <w:r w:rsidRPr="002D49BD">
              <w:rPr>
                <w:sz w:val="20"/>
                <w:szCs w:val="20"/>
              </w:rPr>
              <w:t>javnofinančna sredstva nad 40.000 EUR v tekočem in naslednjih treh letih</w:t>
            </w:r>
          </w:p>
        </w:tc>
        <w:tc>
          <w:tcPr>
            <w:tcW w:w="2208" w:type="dxa"/>
            <w:gridSpan w:val="3"/>
            <w:vAlign w:val="center"/>
          </w:tcPr>
          <w:p w14:paraId="2DCAF66B" w14:textId="77777777" w:rsidR="00535B83" w:rsidRPr="002D49BD" w:rsidRDefault="00C16C94" w:rsidP="00416654">
            <w:pPr>
              <w:pStyle w:val="Neotevilenodstavek"/>
              <w:spacing w:before="0" w:after="0" w:line="260" w:lineRule="exact"/>
              <w:jc w:val="center"/>
              <w:rPr>
                <w:iCs/>
                <w:sz w:val="20"/>
                <w:szCs w:val="20"/>
              </w:rPr>
            </w:pPr>
            <w:r>
              <w:rPr>
                <w:sz w:val="20"/>
                <w:szCs w:val="20"/>
              </w:rPr>
              <w:t>DA</w:t>
            </w:r>
          </w:p>
        </w:tc>
      </w:tr>
      <w:tr w:rsidR="00535B83" w:rsidRPr="002D49BD" w14:paraId="75C43CE0" w14:textId="77777777" w:rsidTr="00CA678E">
        <w:tc>
          <w:tcPr>
            <w:tcW w:w="1448" w:type="dxa"/>
          </w:tcPr>
          <w:p w14:paraId="1476146E" w14:textId="77777777" w:rsidR="00535B83" w:rsidRPr="002D49BD" w:rsidRDefault="00535B83" w:rsidP="00416654">
            <w:pPr>
              <w:pStyle w:val="Neotevilenodstavek"/>
              <w:spacing w:before="0" w:after="0" w:line="260" w:lineRule="exact"/>
              <w:ind w:left="360"/>
              <w:rPr>
                <w:iCs/>
                <w:sz w:val="20"/>
                <w:szCs w:val="20"/>
              </w:rPr>
            </w:pPr>
            <w:r w:rsidRPr="002D49BD">
              <w:rPr>
                <w:iCs/>
                <w:sz w:val="20"/>
                <w:szCs w:val="20"/>
              </w:rPr>
              <w:t>b)</w:t>
            </w:r>
          </w:p>
        </w:tc>
        <w:tc>
          <w:tcPr>
            <w:tcW w:w="5444" w:type="dxa"/>
            <w:gridSpan w:val="10"/>
          </w:tcPr>
          <w:p w14:paraId="10FA7AEF" w14:textId="77777777" w:rsidR="00535B83" w:rsidRPr="002D49BD" w:rsidRDefault="00535B83" w:rsidP="00416654">
            <w:pPr>
              <w:pStyle w:val="Neotevilenodstavek"/>
              <w:spacing w:before="0" w:after="0" w:line="260" w:lineRule="exact"/>
              <w:rPr>
                <w:iCs/>
                <w:sz w:val="20"/>
                <w:szCs w:val="20"/>
              </w:rPr>
            </w:pPr>
            <w:r w:rsidRPr="002D49BD">
              <w:rPr>
                <w:bCs/>
                <w:sz w:val="20"/>
                <w:szCs w:val="20"/>
              </w:rPr>
              <w:t>usklajenost slovenskega pravnega reda s pravnim redom Evropske unije</w:t>
            </w:r>
          </w:p>
        </w:tc>
        <w:tc>
          <w:tcPr>
            <w:tcW w:w="2208" w:type="dxa"/>
            <w:gridSpan w:val="3"/>
            <w:vAlign w:val="center"/>
          </w:tcPr>
          <w:p w14:paraId="744AD46D" w14:textId="77777777" w:rsidR="00535B83" w:rsidRPr="002D49BD" w:rsidRDefault="00535B83" w:rsidP="00416654">
            <w:pPr>
              <w:pStyle w:val="Neotevilenodstavek"/>
              <w:spacing w:before="0" w:after="0" w:line="260" w:lineRule="exact"/>
              <w:jc w:val="center"/>
              <w:rPr>
                <w:iCs/>
                <w:sz w:val="20"/>
                <w:szCs w:val="20"/>
              </w:rPr>
            </w:pPr>
            <w:r w:rsidRPr="002D49BD">
              <w:rPr>
                <w:sz w:val="20"/>
                <w:szCs w:val="20"/>
              </w:rPr>
              <w:t>NE</w:t>
            </w:r>
          </w:p>
        </w:tc>
      </w:tr>
      <w:tr w:rsidR="00535B83" w:rsidRPr="002D49BD" w14:paraId="10F117BA" w14:textId="77777777" w:rsidTr="00CA678E">
        <w:tc>
          <w:tcPr>
            <w:tcW w:w="1448" w:type="dxa"/>
          </w:tcPr>
          <w:p w14:paraId="04605125" w14:textId="77777777" w:rsidR="00535B83" w:rsidRPr="002D49BD" w:rsidRDefault="00535B83" w:rsidP="00416654">
            <w:pPr>
              <w:pStyle w:val="Neotevilenodstavek"/>
              <w:spacing w:before="0" w:after="0" w:line="260" w:lineRule="exact"/>
              <w:ind w:left="360"/>
              <w:rPr>
                <w:iCs/>
                <w:sz w:val="20"/>
                <w:szCs w:val="20"/>
              </w:rPr>
            </w:pPr>
            <w:r w:rsidRPr="002D49BD">
              <w:rPr>
                <w:iCs/>
                <w:sz w:val="20"/>
                <w:szCs w:val="20"/>
              </w:rPr>
              <w:t>c)</w:t>
            </w:r>
          </w:p>
        </w:tc>
        <w:tc>
          <w:tcPr>
            <w:tcW w:w="5444" w:type="dxa"/>
            <w:gridSpan w:val="10"/>
          </w:tcPr>
          <w:p w14:paraId="7E159DFA" w14:textId="77777777" w:rsidR="00535B83" w:rsidRPr="002D49BD" w:rsidRDefault="00535B83" w:rsidP="00416654">
            <w:pPr>
              <w:pStyle w:val="Neotevilenodstavek"/>
              <w:spacing w:before="0" w:after="0" w:line="260" w:lineRule="exact"/>
              <w:rPr>
                <w:iCs/>
                <w:sz w:val="20"/>
                <w:szCs w:val="20"/>
              </w:rPr>
            </w:pPr>
            <w:r w:rsidRPr="002D49BD">
              <w:rPr>
                <w:sz w:val="20"/>
                <w:szCs w:val="20"/>
              </w:rPr>
              <w:t>administrativne posledice</w:t>
            </w:r>
          </w:p>
        </w:tc>
        <w:tc>
          <w:tcPr>
            <w:tcW w:w="2208" w:type="dxa"/>
            <w:gridSpan w:val="3"/>
            <w:vAlign w:val="center"/>
          </w:tcPr>
          <w:p w14:paraId="1E5A801A" w14:textId="77777777" w:rsidR="00535B83" w:rsidRPr="00992643" w:rsidRDefault="00952899" w:rsidP="00416654">
            <w:pPr>
              <w:pStyle w:val="Neotevilenodstavek"/>
              <w:spacing w:before="0" w:after="0" w:line="260" w:lineRule="exact"/>
              <w:jc w:val="center"/>
              <w:rPr>
                <w:sz w:val="20"/>
                <w:szCs w:val="20"/>
                <w:highlight w:val="yellow"/>
              </w:rPr>
            </w:pPr>
            <w:r w:rsidRPr="00FA73EA">
              <w:rPr>
                <w:sz w:val="20"/>
                <w:szCs w:val="20"/>
              </w:rPr>
              <w:t>DA</w:t>
            </w:r>
          </w:p>
        </w:tc>
      </w:tr>
      <w:tr w:rsidR="00535B83" w:rsidRPr="002D49BD" w14:paraId="3FA32577" w14:textId="77777777" w:rsidTr="00CA678E">
        <w:tc>
          <w:tcPr>
            <w:tcW w:w="1448" w:type="dxa"/>
          </w:tcPr>
          <w:p w14:paraId="0C27E97B" w14:textId="77777777" w:rsidR="00535B83" w:rsidRPr="002D49BD" w:rsidRDefault="00535B83" w:rsidP="00416654">
            <w:pPr>
              <w:pStyle w:val="Neotevilenodstavek"/>
              <w:spacing w:before="0" w:after="0" w:line="260" w:lineRule="exact"/>
              <w:ind w:left="360"/>
              <w:rPr>
                <w:iCs/>
                <w:sz w:val="20"/>
                <w:szCs w:val="20"/>
              </w:rPr>
            </w:pPr>
            <w:r w:rsidRPr="002D49BD">
              <w:rPr>
                <w:iCs/>
                <w:sz w:val="20"/>
                <w:szCs w:val="20"/>
              </w:rPr>
              <w:t>č)</w:t>
            </w:r>
          </w:p>
        </w:tc>
        <w:tc>
          <w:tcPr>
            <w:tcW w:w="5444" w:type="dxa"/>
            <w:gridSpan w:val="10"/>
          </w:tcPr>
          <w:p w14:paraId="7234BBEB" w14:textId="77777777" w:rsidR="00535B83" w:rsidRPr="002D49BD" w:rsidRDefault="00535B83" w:rsidP="00416654">
            <w:pPr>
              <w:pStyle w:val="Neotevilenodstavek"/>
              <w:spacing w:before="0" w:after="0" w:line="260" w:lineRule="exact"/>
              <w:rPr>
                <w:bCs/>
                <w:sz w:val="20"/>
                <w:szCs w:val="20"/>
              </w:rPr>
            </w:pPr>
            <w:r w:rsidRPr="002D49BD">
              <w:rPr>
                <w:sz w:val="20"/>
                <w:szCs w:val="20"/>
              </w:rPr>
              <w:t>gospodarstvo, zlasti</w:t>
            </w:r>
            <w:r w:rsidRPr="002D49BD">
              <w:rPr>
                <w:bCs/>
                <w:sz w:val="20"/>
                <w:szCs w:val="20"/>
              </w:rPr>
              <w:t xml:space="preserve"> mala in srednja podjetja ter konkurenčnost podjetij</w:t>
            </w:r>
          </w:p>
        </w:tc>
        <w:tc>
          <w:tcPr>
            <w:tcW w:w="2208" w:type="dxa"/>
            <w:gridSpan w:val="3"/>
            <w:vAlign w:val="center"/>
          </w:tcPr>
          <w:p w14:paraId="6C1A14F6" w14:textId="77777777" w:rsidR="00535B83" w:rsidRPr="00992643" w:rsidRDefault="00992643" w:rsidP="00416654">
            <w:pPr>
              <w:pStyle w:val="Neotevilenodstavek"/>
              <w:spacing w:before="0" w:after="0" w:line="260" w:lineRule="exact"/>
              <w:jc w:val="center"/>
              <w:rPr>
                <w:iCs/>
                <w:sz w:val="20"/>
                <w:szCs w:val="20"/>
                <w:highlight w:val="yellow"/>
              </w:rPr>
            </w:pPr>
            <w:r w:rsidRPr="00FA73EA">
              <w:rPr>
                <w:sz w:val="20"/>
                <w:szCs w:val="20"/>
              </w:rPr>
              <w:t>NE</w:t>
            </w:r>
          </w:p>
        </w:tc>
      </w:tr>
      <w:tr w:rsidR="00535B83" w:rsidRPr="002D49BD" w14:paraId="3E424407" w14:textId="77777777" w:rsidTr="00CA678E">
        <w:tc>
          <w:tcPr>
            <w:tcW w:w="1448" w:type="dxa"/>
          </w:tcPr>
          <w:p w14:paraId="70E1290F" w14:textId="77777777" w:rsidR="00535B83" w:rsidRPr="002D49BD" w:rsidRDefault="00535B83" w:rsidP="00416654">
            <w:pPr>
              <w:pStyle w:val="Neotevilenodstavek"/>
              <w:spacing w:before="0" w:after="0" w:line="260" w:lineRule="exact"/>
              <w:ind w:left="360"/>
              <w:rPr>
                <w:iCs/>
                <w:sz w:val="20"/>
                <w:szCs w:val="20"/>
              </w:rPr>
            </w:pPr>
            <w:r w:rsidRPr="002D49BD">
              <w:rPr>
                <w:iCs/>
                <w:sz w:val="20"/>
                <w:szCs w:val="20"/>
              </w:rPr>
              <w:t>d)</w:t>
            </w:r>
          </w:p>
        </w:tc>
        <w:tc>
          <w:tcPr>
            <w:tcW w:w="5444" w:type="dxa"/>
            <w:gridSpan w:val="10"/>
          </w:tcPr>
          <w:p w14:paraId="08F114B2" w14:textId="77777777" w:rsidR="00535B83" w:rsidRPr="002D49BD" w:rsidRDefault="00535B83" w:rsidP="00416654">
            <w:pPr>
              <w:pStyle w:val="Neotevilenodstavek"/>
              <w:spacing w:before="0" w:after="0" w:line="260" w:lineRule="exact"/>
              <w:rPr>
                <w:bCs/>
                <w:sz w:val="20"/>
                <w:szCs w:val="20"/>
              </w:rPr>
            </w:pPr>
            <w:r w:rsidRPr="002D49BD">
              <w:rPr>
                <w:bCs/>
                <w:sz w:val="20"/>
                <w:szCs w:val="20"/>
              </w:rPr>
              <w:t>okolje, vključno s prostorskimi in varstvenimi vidiki</w:t>
            </w:r>
          </w:p>
        </w:tc>
        <w:tc>
          <w:tcPr>
            <w:tcW w:w="2208" w:type="dxa"/>
            <w:gridSpan w:val="3"/>
            <w:vAlign w:val="center"/>
          </w:tcPr>
          <w:p w14:paraId="23B3A80A" w14:textId="77777777" w:rsidR="00535B83" w:rsidRPr="00992643" w:rsidRDefault="00952899" w:rsidP="00215EF2">
            <w:pPr>
              <w:pStyle w:val="Neotevilenodstavek"/>
              <w:spacing w:before="0" w:after="0" w:line="260" w:lineRule="exact"/>
              <w:jc w:val="center"/>
              <w:rPr>
                <w:iCs/>
                <w:sz w:val="20"/>
                <w:szCs w:val="20"/>
                <w:highlight w:val="yellow"/>
              </w:rPr>
            </w:pPr>
            <w:r w:rsidRPr="00FA73EA">
              <w:rPr>
                <w:sz w:val="20"/>
                <w:szCs w:val="20"/>
              </w:rPr>
              <w:t>NE</w:t>
            </w:r>
          </w:p>
        </w:tc>
      </w:tr>
      <w:tr w:rsidR="00535B83" w:rsidRPr="002D49BD" w14:paraId="4072F178" w14:textId="77777777" w:rsidTr="00CA678E">
        <w:tc>
          <w:tcPr>
            <w:tcW w:w="1448" w:type="dxa"/>
          </w:tcPr>
          <w:p w14:paraId="0F388375" w14:textId="77777777" w:rsidR="00535B83" w:rsidRPr="002D49BD" w:rsidRDefault="00535B83" w:rsidP="00416654">
            <w:pPr>
              <w:pStyle w:val="Neotevilenodstavek"/>
              <w:spacing w:before="0" w:after="0" w:line="260" w:lineRule="exact"/>
              <w:ind w:left="360"/>
              <w:rPr>
                <w:iCs/>
                <w:sz w:val="20"/>
                <w:szCs w:val="20"/>
              </w:rPr>
            </w:pPr>
            <w:r w:rsidRPr="002D49BD">
              <w:rPr>
                <w:iCs/>
                <w:sz w:val="20"/>
                <w:szCs w:val="20"/>
              </w:rPr>
              <w:t>e)</w:t>
            </w:r>
          </w:p>
        </w:tc>
        <w:tc>
          <w:tcPr>
            <w:tcW w:w="5444" w:type="dxa"/>
            <w:gridSpan w:val="10"/>
          </w:tcPr>
          <w:p w14:paraId="0617DADA" w14:textId="77777777" w:rsidR="00535B83" w:rsidRPr="002D49BD" w:rsidRDefault="00535B83" w:rsidP="00416654">
            <w:pPr>
              <w:pStyle w:val="Neotevilenodstavek"/>
              <w:spacing w:before="0" w:after="0" w:line="260" w:lineRule="exact"/>
              <w:rPr>
                <w:bCs/>
                <w:sz w:val="20"/>
                <w:szCs w:val="20"/>
              </w:rPr>
            </w:pPr>
            <w:r w:rsidRPr="002D49BD">
              <w:rPr>
                <w:bCs/>
                <w:sz w:val="20"/>
                <w:szCs w:val="20"/>
              </w:rPr>
              <w:t>socialno področje</w:t>
            </w:r>
          </w:p>
        </w:tc>
        <w:tc>
          <w:tcPr>
            <w:tcW w:w="2208" w:type="dxa"/>
            <w:gridSpan w:val="3"/>
            <w:vAlign w:val="center"/>
          </w:tcPr>
          <w:p w14:paraId="5C338B46" w14:textId="77777777" w:rsidR="00535B83" w:rsidRPr="00992643" w:rsidRDefault="00535B83" w:rsidP="00416654">
            <w:pPr>
              <w:pStyle w:val="Neotevilenodstavek"/>
              <w:spacing w:before="0" w:after="0" w:line="260" w:lineRule="exact"/>
              <w:jc w:val="center"/>
              <w:rPr>
                <w:iCs/>
                <w:sz w:val="20"/>
                <w:szCs w:val="20"/>
                <w:highlight w:val="yellow"/>
              </w:rPr>
            </w:pPr>
            <w:r w:rsidRPr="00FA73EA">
              <w:rPr>
                <w:sz w:val="20"/>
                <w:szCs w:val="20"/>
              </w:rPr>
              <w:t>NE</w:t>
            </w:r>
          </w:p>
        </w:tc>
      </w:tr>
      <w:tr w:rsidR="00535B83" w:rsidRPr="002D49BD" w14:paraId="32353F27" w14:textId="77777777" w:rsidTr="00CA678E">
        <w:tc>
          <w:tcPr>
            <w:tcW w:w="1448" w:type="dxa"/>
            <w:tcBorders>
              <w:bottom w:val="single" w:sz="4" w:space="0" w:color="auto"/>
            </w:tcBorders>
          </w:tcPr>
          <w:p w14:paraId="14A657CC" w14:textId="77777777" w:rsidR="00535B83" w:rsidRPr="002D49BD" w:rsidRDefault="00535B83" w:rsidP="00416654">
            <w:pPr>
              <w:pStyle w:val="Neotevilenodstavek"/>
              <w:spacing w:before="0" w:after="0" w:line="260" w:lineRule="exact"/>
              <w:ind w:left="360"/>
              <w:rPr>
                <w:iCs/>
                <w:sz w:val="20"/>
                <w:szCs w:val="20"/>
              </w:rPr>
            </w:pPr>
            <w:r w:rsidRPr="002D49BD">
              <w:rPr>
                <w:iCs/>
                <w:sz w:val="20"/>
                <w:szCs w:val="20"/>
              </w:rPr>
              <w:t>f)</w:t>
            </w:r>
          </w:p>
        </w:tc>
        <w:tc>
          <w:tcPr>
            <w:tcW w:w="5444" w:type="dxa"/>
            <w:gridSpan w:val="10"/>
            <w:tcBorders>
              <w:bottom w:val="single" w:sz="4" w:space="0" w:color="auto"/>
            </w:tcBorders>
          </w:tcPr>
          <w:p w14:paraId="4C82E05C" w14:textId="77777777" w:rsidR="00535B83" w:rsidRPr="002D49BD" w:rsidRDefault="00535B83" w:rsidP="00416654">
            <w:pPr>
              <w:pStyle w:val="Neotevilenodstavek"/>
              <w:spacing w:before="0" w:after="0" w:line="260" w:lineRule="exact"/>
              <w:rPr>
                <w:bCs/>
                <w:sz w:val="20"/>
                <w:szCs w:val="20"/>
              </w:rPr>
            </w:pPr>
            <w:r w:rsidRPr="002D49BD">
              <w:rPr>
                <w:bCs/>
                <w:sz w:val="20"/>
                <w:szCs w:val="20"/>
              </w:rPr>
              <w:t>dokumente razvojnega načrtovanja:</w:t>
            </w:r>
          </w:p>
          <w:p w14:paraId="53E60C8D" w14:textId="77777777" w:rsidR="00535B83" w:rsidRPr="002D49BD" w:rsidRDefault="00535B83" w:rsidP="00CA678E">
            <w:pPr>
              <w:pStyle w:val="Neotevilenodstavek"/>
              <w:numPr>
                <w:ilvl w:val="0"/>
                <w:numId w:val="9"/>
              </w:numPr>
              <w:spacing w:before="0" w:after="0" w:line="260" w:lineRule="exact"/>
              <w:rPr>
                <w:bCs/>
                <w:sz w:val="20"/>
                <w:szCs w:val="20"/>
              </w:rPr>
            </w:pPr>
            <w:r w:rsidRPr="002D49BD">
              <w:rPr>
                <w:bCs/>
                <w:sz w:val="20"/>
                <w:szCs w:val="20"/>
              </w:rPr>
              <w:t>nacionalne dokumente razvojnega načrtovanja</w:t>
            </w:r>
          </w:p>
          <w:p w14:paraId="3B7C62FA" w14:textId="77777777" w:rsidR="00535B83" w:rsidRPr="002D49BD" w:rsidRDefault="00535B83" w:rsidP="00CA678E">
            <w:pPr>
              <w:pStyle w:val="Neotevilenodstavek"/>
              <w:numPr>
                <w:ilvl w:val="0"/>
                <w:numId w:val="9"/>
              </w:numPr>
              <w:spacing w:before="0" w:after="0" w:line="260" w:lineRule="exact"/>
              <w:rPr>
                <w:bCs/>
                <w:sz w:val="20"/>
                <w:szCs w:val="20"/>
              </w:rPr>
            </w:pPr>
            <w:r w:rsidRPr="002D49BD">
              <w:rPr>
                <w:bCs/>
                <w:sz w:val="20"/>
                <w:szCs w:val="20"/>
              </w:rPr>
              <w:t>razvojne politike na ravni programov po strukturi razvojne klasifikacije programskega proračuna</w:t>
            </w:r>
          </w:p>
          <w:p w14:paraId="2DEDDDEC" w14:textId="77777777" w:rsidR="00535B83" w:rsidRPr="002D49BD" w:rsidRDefault="00535B83" w:rsidP="00952899">
            <w:pPr>
              <w:pStyle w:val="Neotevilenodstavek"/>
              <w:numPr>
                <w:ilvl w:val="0"/>
                <w:numId w:val="9"/>
              </w:numPr>
              <w:spacing w:before="0" w:after="0" w:line="260" w:lineRule="exact"/>
              <w:jc w:val="left"/>
              <w:rPr>
                <w:bCs/>
                <w:sz w:val="20"/>
                <w:szCs w:val="20"/>
              </w:rPr>
            </w:pPr>
            <w:r w:rsidRPr="002D49BD">
              <w:rPr>
                <w:bCs/>
                <w:sz w:val="20"/>
                <w:szCs w:val="20"/>
              </w:rPr>
              <w:t>razvojne dokumente Evropske unije in mednarodnih organizacij</w:t>
            </w:r>
          </w:p>
        </w:tc>
        <w:tc>
          <w:tcPr>
            <w:tcW w:w="2208" w:type="dxa"/>
            <w:gridSpan w:val="3"/>
            <w:tcBorders>
              <w:bottom w:val="single" w:sz="4" w:space="0" w:color="auto"/>
            </w:tcBorders>
            <w:vAlign w:val="center"/>
          </w:tcPr>
          <w:p w14:paraId="19677D0E" w14:textId="77777777" w:rsidR="00535B83" w:rsidRPr="002D49BD" w:rsidRDefault="00535B83" w:rsidP="00416654">
            <w:pPr>
              <w:pStyle w:val="Neotevilenodstavek"/>
              <w:spacing w:before="0" w:after="0" w:line="260" w:lineRule="exact"/>
              <w:jc w:val="center"/>
              <w:rPr>
                <w:iCs/>
                <w:sz w:val="20"/>
                <w:szCs w:val="20"/>
              </w:rPr>
            </w:pPr>
            <w:r w:rsidRPr="002D49BD">
              <w:rPr>
                <w:sz w:val="20"/>
                <w:szCs w:val="20"/>
              </w:rPr>
              <w:t>NE</w:t>
            </w:r>
          </w:p>
        </w:tc>
      </w:tr>
      <w:tr w:rsidR="00535B83" w:rsidRPr="002D49BD" w14:paraId="6EE7E15D" w14:textId="77777777" w:rsidTr="00CA678E">
        <w:tc>
          <w:tcPr>
            <w:tcW w:w="9100" w:type="dxa"/>
            <w:gridSpan w:val="14"/>
            <w:tcBorders>
              <w:top w:val="single" w:sz="4" w:space="0" w:color="auto"/>
              <w:left w:val="single" w:sz="4" w:space="0" w:color="auto"/>
              <w:bottom w:val="single" w:sz="4" w:space="0" w:color="auto"/>
              <w:right w:val="single" w:sz="4" w:space="0" w:color="auto"/>
            </w:tcBorders>
          </w:tcPr>
          <w:p w14:paraId="3FC4966E" w14:textId="77777777" w:rsidR="00535B83" w:rsidRPr="002D49BD" w:rsidRDefault="00535B83" w:rsidP="00416654">
            <w:pPr>
              <w:pStyle w:val="Oddelek"/>
              <w:widowControl w:val="0"/>
              <w:numPr>
                <w:ilvl w:val="0"/>
                <w:numId w:val="0"/>
              </w:numPr>
              <w:spacing w:before="0" w:after="0" w:line="260" w:lineRule="exact"/>
              <w:jc w:val="left"/>
              <w:rPr>
                <w:sz w:val="20"/>
                <w:szCs w:val="20"/>
              </w:rPr>
            </w:pPr>
            <w:proofErr w:type="spellStart"/>
            <w:r w:rsidRPr="002D49BD">
              <w:rPr>
                <w:sz w:val="20"/>
                <w:szCs w:val="20"/>
              </w:rPr>
              <w:t>7.a</w:t>
            </w:r>
            <w:proofErr w:type="spellEnd"/>
            <w:r w:rsidRPr="002D49BD">
              <w:rPr>
                <w:sz w:val="20"/>
                <w:szCs w:val="20"/>
              </w:rPr>
              <w:t xml:space="preserve"> Predstavitev ocene finančnih posledic nad 40.000 EUR:</w:t>
            </w:r>
          </w:p>
          <w:p w14:paraId="73CBDCF0" w14:textId="77777777" w:rsidR="00535B83" w:rsidRPr="002D49BD" w:rsidRDefault="00535B83" w:rsidP="00416654">
            <w:pPr>
              <w:pStyle w:val="Oddelek"/>
              <w:widowControl w:val="0"/>
              <w:numPr>
                <w:ilvl w:val="0"/>
                <w:numId w:val="0"/>
              </w:numPr>
              <w:spacing w:before="0" w:after="0" w:line="260" w:lineRule="exact"/>
              <w:jc w:val="left"/>
              <w:rPr>
                <w:b w:val="0"/>
                <w:sz w:val="20"/>
                <w:szCs w:val="20"/>
              </w:rPr>
            </w:pPr>
            <w:r w:rsidRPr="002D49BD">
              <w:rPr>
                <w:b w:val="0"/>
                <w:sz w:val="20"/>
                <w:szCs w:val="20"/>
              </w:rPr>
              <w:t>(Samo če izberete DA pod točko 6.a.)</w:t>
            </w:r>
          </w:p>
        </w:tc>
      </w:tr>
      <w:tr w:rsidR="00535B83" w:rsidRPr="002D49BD" w14:paraId="16F5BF6B" w14:textId="77777777" w:rsidTr="00CA678E">
        <w:tc>
          <w:tcPr>
            <w:tcW w:w="9100" w:type="dxa"/>
            <w:gridSpan w:val="14"/>
            <w:tcBorders>
              <w:top w:val="single" w:sz="4" w:space="0" w:color="auto"/>
              <w:left w:val="single" w:sz="4" w:space="0" w:color="auto"/>
              <w:bottom w:val="single" w:sz="4" w:space="0" w:color="auto"/>
              <w:right w:val="single" w:sz="4" w:space="0" w:color="auto"/>
            </w:tcBorders>
          </w:tcPr>
          <w:p w14:paraId="50BDA87E" w14:textId="77777777" w:rsidR="00535B83" w:rsidRPr="002D49BD" w:rsidRDefault="00535B83" w:rsidP="00CA678E">
            <w:pPr>
              <w:pStyle w:val="Oddelek"/>
              <w:spacing w:line="260" w:lineRule="exact"/>
              <w:rPr>
                <w:sz w:val="20"/>
                <w:szCs w:val="20"/>
              </w:rPr>
            </w:pPr>
            <w:r w:rsidRPr="002D49BD">
              <w:rPr>
                <w:sz w:val="20"/>
                <w:szCs w:val="20"/>
              </w:rPr>
              <w:t>I. Ocena finančnih posledic, ki niso načrtovane v sprejetem proračunu</w:t>
            </w:r>
          </w:p>
        </w:tc>
      </w:tr>
      <w:tr w:rsidR="00535B83" w:rsidRPr="002D49BD" w14:paraId="6C15FA21" w14:textId="77777777" w:rsidTr="0040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CBD36F2" w14:textId="77777777" w:rsidR="00535B83" w:rsidRPr="002D49BD" w:rsidRDefault="00535B83" w:rsidP="00416654">
            <w:pPr>
              <w:widowControl w:val="0"/>
              <w:ind w:left="-122" w:right="-112"/>
              <w:jc w:val="center"/>
              <w:rPr>
                <w:rFonts w:cs="Arial"/>
                <w:szCs w:val="20"/>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1F1E244" w14:textId="77777777" w:rsidR="00535B83" w:rsidRPr="002D49BD" w:rsidRDefault="00535B83" w:rsidP="00416654">
            <w:pPr>
              <w:widowControl w:val="0"/>
              <w:jc w:val="center"/>
              <w:rPr>
                <w:rFonts w:cs="Arial"/>
                <w:szCs w:val="20"/>
              </w:rPr>
            </w:pPr>
            <w:r w:rsidRPr="002D49BD">
              <w:rPr>
                <w:rFonts w:cs="Arial"/>
                <w:szCs w:val="20"/>
              </w:rPr>
              <w:t>Tekoče leto (t)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27822A63" w14:textId="77777777" w:rsidR="00535B83" w:rsidRPr="002D49BD" w:rsidRDefault="00535B83" w:rsidP="00416654">
            <w:pPr>
              <w:widowControl w:val="0"/>
              <w:jc w:val="center"/>
              <w:rPr>
                <w:rFonts w:cs="Arial"/>
                <w:szCs w:val="20"/>
              </w:rPr>
            </w:pPr>
            <w:r w:rsidRPr="002D49BD">
              <w:rPr>
                <w:rFonts w:cs="Arial"/>
                <w:szCs w:val="20"/>
              </w:rPr>
              <w:t>t + 1</w:t>
            </w:r>
          </w:p>
        </w:tc>
        <w:tc>
          <w:tcPr>
            <w:tcW w:w="1561" w:type="dxa"/>
            <w:gridSpan w:val="6"/>
            <w:tcBorders>
              <w:top w:val="single" w:sz="4" w:space="0" w:color="auto"/>
              <w:left w:val="single" w:sz="4" w:space="0" w:color="auto"/>
              <w:bottom w:val="single" w:sz="4" w:space="0" w:color="auto"/>
              <w:right w:val="single" w:sz="4" w:space="0" w:color="auto"/>
            </w:tcBorders>
            <w:vAlign w:val="center"/>
          </w:tcPr>
          <w:p w14:paraId="47A0F015" w14:textId="77777777" w:rsidR="00535B83" w:rsidRPr="002D49BD" w:rsidRDefault="00535B83" w:rsidP="00416654">
            <w:pPr>
              <w:widowControl w:val="0"/>
              <w:jc w:val="center"/>
              <w:rPr>
                <w:rFonts w:cs="Arial"/>
                <w:szCs w:val="20"/>
              </w:rPr>
            </w:pPr>
            <w:r w:rsidRPr="002D49BD">
              <w:rPr>
                <w:rFonts w:cs="Arial"/>
                <w:szCs w:val="20"/>
              </w:rPr>
              <w:t>t + 2</w:t>
            </w:r>
          </w:p>
        </w:tc>
        <w:tc>
          <w:tcPr>
            <w:tcW w:w="1561" w:type="dxa"/>
            <w:tcBorders>
              <w:top w:val="single" w:sz="4" w:space="0" w:color="auto"/>
              <w:left w:val="single" w:sz="4" w:space="0" w:color="auto"/>
              <w:bottom w:val="single" w:sz="4" w:space="0" w:color="auto"/>
              <w:right w:val="single" w:sz="4" w:space="0" w:color="auto"/>
            </w:tcBorders>
            <w:vAlign w:val="center"/>
          </w:tcPr>
          <w:p w14:paraId="0427207C" w14:textId="77777777" w:rsidR="00535B83" w:rsidRPr="002D49BD" w:rsidRDefault="00535B83" w:rsidP="00416654">
            <w:pPr>
              <w:widowControl w:val="0"/>
              <w:jc w:val="center"/>
              <w:rPr>
                <w:rFonts w:cs="Arial"/>
                <w:szCs w:val="20"/>
              </w:rPr>
            </w:pPr>
            <w:r w:rsidRPr="002D49BD">
              <w:rPr>
                <w:rFonts w:cs="Arial"/>
                <w:szCs w:val="20"/>
              </w:rPr>
              <w:t>t + 3</w:t>
            </w:r>
          </w:p>
        </w:tc>
      </w:tr>
      <w:tr w:rsidR="00535B83" w:rsidRPr="002D49BD" w14:paraId="1F2ED900" w14:textId="77777777" w:rsidTr="0040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229AFF6" w14:textId="77777777" w:rsidR="00535B83" w:rsidRPr="002D49BD" w:rsidRDefault="00535B83" w:rsidP="00416654">
            <w:pPr>
              <w:widowControl w:val="0"/>
              <w:rPr>
                <w:rFonts w:cs="Arial"/>
                <w:bCs/>
                <w:szCs w:val="20"/>
              </w:rPr>
            </w:pPr>
            <w:r w:rsidRPr="002D49BD">
              <w:rPr>
                <w:rFonts w:cs="Arial"/>
                <w:bCs/>
                <w:szCs w:val="20"/>
              </w:rPr>
              <w:t>Predvideno povečanje (+) ali zmanjšanje (</w:t>
            </w:r>
            <w:r w:rsidRPr="002D49BD">
              <w:rPr>
                <w:b/>
                <w:szCs w:val="20"/>
              </w:rPr>
              <w:t>–</w:t>
            </w:r>
            <w:r w:rsidRPr="002D49BD">
              <w:rPr>
                <w:rFonts w:cs="Arial"/>
                <w:bCs/>
                <w:szCs w:val="20"/>
              </w:rPr>
              <w:t xml:space="preserve">) prihodkov državnega proračuna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4504077" w14:textId="77777777" w:rsidR="00535B83" w:rsidRPr="002D49BD" w:rsidRDefault="00535B83" w:rsidP="00416654">
            <w:pPr>
              <w:pStyle w:val="Naslov1"/>
              <w:keepNext w:val="0"/>
              <w:widowControl w:val="0"/>
              <w:tabs>
                <w:tab w:val="left" w:pos="360"/>
              </w:tabs>
              <w:spacing w:before="0" w:after="0"/>
              <w:jc w:val="center"/>
              <w:rPr>
                <w:rFonts w:cs="Arial"/>
                <w:b w:val="0"/>
                <w:bCs/>
                <w:sz w:val="20"/>
                <w:szCs w:val="20"/>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05C5F5BE" w14:textId="77777777" w:rsidR="00535B83" w:rsidRPr="002D49BD" w:rsidRDefault="00535B83" w:rsidP="00416654">
            <w:pPr>
              <w:pStyle w:val="Naslov1"/>
              <w:keepNext w:val="0"/>
              <w:widowControl w:val="0"/>
              <w:tabs>
                <w:tab w:val="left" w:pos="360"/>
              </w:tabs>
              <w:spacing w:before="0" w:after="0"/>
              <w:jc w:val="center"/>
              <w:rPr>
                <w:rFonts w:cs="Arial"/>
                <w:b w:val="0"/>
                <w:bCs/>
                <w:sz w:val="20"/>
                <w:szCs w:val="20"/>
              </w:rPr>
            </w:pPr>
          </w:p>
        </w:tc>
        <w:tc>
          <w:tcPr>
            <w:tcW w:w="1561" w:type="dxa"/>
            <w:gridSpan w:val="6"/>
            <w:tcBorders>
              <w:top w:val="single" w:sz="4" w:space="0" w:color="auto"/>
              <w:left w:val="single" w:sz="4" w:space="0" w:color="auto"/>
              <w:bottom w:val="single" w:sz="4" w:space="0" w:color="auto"/>
              <w:right w:val="single" w:sz="4" w:space="0" w:color="auto"/>
            </w:tcBorders>
            <w:vAlign w:val="center"/>
          </w:tcPr>
          <w:p w14:paraId="16712BB4" w14:textId="77777777" w:rsidR="00535B83" w:rsidRPr="002D49BD" w:rsidRDefault="00535B83" w:rsidP="00416654">
            <w:pPr>
              <w:pStyle w:val="Naslov1"/>
              <w:keepNext w:val="0"/>
              <w:widowControl w:val="0"/>
              <w:tabs>
                <w:tab w:val="left" w:pos="360"/>
              </w:tabs>
              <w:spacing w:before="0" w:after="0"/>
              <w:jc w:val="center"/>
              <w:rPr>
                <w:rFonts w:cs="Arial"/>
                <w:b w:val="0"/>
                <w:sz w:val="20"/>
                <w:szCs w:val="20"/>
              </w:rPr>
            </w:pPr>
          </w:p>
        </w:tc>
        <w:tc>
          <w:tcPr>
            <w:tcW w:w="1561" w:type="dxa"/>
            <w:tcBorders>
              <w:top w:val="single" w:sz="4" w:space="0" w:color="auto"/>
              <w:left w:val="single" w:sz="4" w:space="0" w:color="auto"/>
              <w:bottom w:val="single" w:sz="4" w:space="0" w:color="auto"/>
              <w:right w:val="single" w:sz="4" w:space="0" w:color="auto"/>
            </w:tcBorders>
            <w:vAlign w:val="center"/>
          </w:tcPr>
          <w:p w14:paraId="0EA65C47" w14:textId="77777777" w:rsidR="00535B83" w:rsidRPr="002D49BD" w:rsidRDefault="00535B83" w:rsidP="00416654">
            <w:pPr>
              <w:pStyle w:val="Naslov1"/>
              <w:keepNext w:val="0"/>
              <w:widowControl w:val="0"/>
              <w:tabs>
                <w:tab w:val="left" w:pos="360"/>
              </w:tabs>
              <w:spacing w:before="0" w:after="0"/>
              <w:jc w:val="center"/>
              <w:rPr>
                <w:rFonts w:cs="Arial"/>
                <w:b w:val="0"/>
                <w:sz w:val="20"/>
                <w:szCs w:val="20"/>
              </w:rPr>
            </w:pPr>
          </w:p>
        </w:tc>
      </w:tr>
      <w:tr w:rsidR="00535B83" w:rsidRPr="002D49BD" w14:paraId="1266D6C8" w14:textId="77777777" w:rsidTr="0040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3479A3B" w14:textId="77777777" w:rsidR="00535B83" w:rsidRPr="002D49BD" w:rsidRDefault="00535B83" w:rsidP="00416654">
            <w:pPr>
              <w:widowControl w:val="0"/>
              <w:rPr>
                <w:rFonts w:cs="Arial"/>
                <w:bCs/>
                <w:szCs w:val="20"/>
              </w:rPr>
            </w:pPr>
            <w:r w:rsidRPr="002D49BD">
              <w:rPr>
                <w:rFonts w:cs="Arial"/>
                <w:bCs/>
                <w:szCs w:val="20"/>
              </w:rPr>
              <w:t>Predvideno povečanje (+) ali zmanjšanje (</w:t>
            </w:r>
            <w:r w:rsidRPr="002D49BD">
              <w:rPr>
                <w:b/>
                <w:szCs w:val="20"/>
              </w:rPr>
              <w:t>–</w:t>
            </w:r>
            <w:r w:rsidRPr="002D49BD">
              <w:rPr>
                <w:rFonts w:cs="Arial"/>
                <w:bCs/>
                <w:szCs w:val="20"/>
              </w:rPr>
              <w:t xml:space="preserve">) prihodkov občinskih proračunov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CF4C357" w14:textId="77777777" w:rsidR="00535B83" w:rsidRPr="002D49BD" w:rsidRDefault="00535B83" w:rsidP="00416654">
            <w:pPr>
              <w:pStyle w:val="Naslov1"/>
              <w:keepNext w:val="0"/>
              <w:widowControl w:val="0"/>
              <w:tabs>
                <w:tab w:val="left" w:pos="360"/>
              </w:tabs>
              <w:spacing w:before="0" w:after="0"/>
              <w:jc w:val="center"/>
              <w:rPr>
                <w:rFonts w:cs="Arial"/>
                <w:b w:val="0"/>
                <w:bCs/>
                <w:sz w:val="20"/>
                <w:szCs w:val="20"/>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64F6CEC0" w14:textId="77777777" w:rsidR="00535B83" w:rsidRPr="002D49BD" w:rsidRDefault="00535B83" w:rsidP="00416654">
            <w:pPr>
              <w:pStyle w:val="Naslov1"/>
              <w:keepNext w:val="0"/>
              <w:widowControl w:val="0"/>
              <w:tabs>
                <w:tab w:val="left" w:pos="360"/>
              </w:tabs>
              <w:spacing w:before="0" w:after="0"/>
              <w:jc w:val="center"/>
              <w:rPr>
                <w:rFonts w:cs="Arial"/>
                <w:b w:val="0"/>
                <w:bCs/>
                <w:sz w:val="20"/>
                <w:szCs w:val="20"/>
              </w:rPr>
            </w:pPr>
          </w:p>
        </w:tc>
        <w:tc>
          <w:tcPr>
            <w:tcW w:w="1561" w:type="dxa"/>
            <w:gridSpan w:val="6"/>
            <w:tcBorders>
              <w:top w:val="single" w:sz="4" w:space="0" w:color="auto"/>
              <w:left w:val="single" w:sz="4" w:space="0" w:color="auto"/>
              <w:bottom w:val="single" w:sz="4" w:space="0" w:color="auto"/>
              <w:right w:val="single" w:sz="4" w:space="0" w:color="auto"/>
            </w:tcBorders>
            <w:vAlign w:val="center"/>
          </w:tcPr>
          <w:p w14:paraId="6B667609" w14:textId="77777777" w:rsidR="00535B83" w:rsidRPr="002D49BD" w:rsidRDefault="00535B83" w:rsidP="00416654">
            <w:pPr>
              <w:pStyle w:val="Naslov1"/>
              <w:keepNext w:val="0"/>
              <w:widowControl w:val="0"/>
              <w:tabs>
                <w:tab w:val="left" w:pos="360"/>
              </w:tabs>
              <w:spacing w:before="0" w:after="0"/>
              <w:jc w:val="center"/>
              <w:rPr>
                <w:rFonts w:cs="Arial"/>
                <w:b w:val="0"/>
                <w:sz w:val="20"/>
                <w:szCs w:val="20"/>
              </w:rPr>
            </w:pPr>
          </w:p>
        </w:tc>
        <w:tc>
          <w:tcPr>
            <w:tcW w:w="1561" w:type="dxa"/>
            <w:tcBorders>
              <w:top w:val="single" w:sz="4" w:space="0" w:color="auto"/>
              <w:left w:val="single" w:sz="4" w:space="0" w:color="auto"/>
              <w:bottom w:val="single" w:sz="4" w:space="0" w:color="auto"/>
              <w:right w:val="single" w:sz="4" w:space="0" w:color="auto"/>
            </w:tcBorders>
            <w:vAlign w:val="center"/>
          </w:tcPr>
          <w:p w14:paraId="54CB32C0" w14:textId="77777777" w:rsidR="00535B83" w:rsidRPr="002D49BD" w:rsidRDefault="00535B83" w:rsidP="00416654">
            <w:pPr>
              <w:pStyle w:val="Naslov1"/>
              <w:keepNext w:val="0"/>
              <w:widowControl w:val="0"/>
              <w:tabs>
                <w:tab w:val="left" w:pos="360"/>
              </w:tabs>
              <w:spacing w:before="0" w:after="0"/>
              <w:jc w:val="center"/>
              <w:rPr>
                <w:rFonts w:cs="Arial"/>
                <w:b w:val="0"/>
                <w:sz w:val="20"/>
                <w:szCs w:val="20"/>
              </w:rPr>
            </w:pPr>
          </w:p>
        </w:tc>
      </w:tr>
      <w:tr w:rsidR="00535B83" w:rsidRPr="002D49BD" w14:paraId="2961630C" w14:textId="77777777" w:rsidTr="0040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E4A60C5" w14:textId="77777777" w:rsidR="00535B83" w:rsidRPr="002D49BD" w:rsidRDefault="00535B83" w:rsidP="00416654">
            <w:pPr>
              <w:widowControl w:val="0"/>
              <w:rPr>
                <w:rFonts w:cs="Arial"/>
                <w:bCs/>
                <w:szCs w:val="20"/>
              </w:rPr>
            </w:pPr>
            <w:r w:rsidRPr="002D49BD">
              <w:rPr>
                <w:rFonts w:cs="Arial"/>
                <w:bCs/>
                <w:szCs w:val="20"/>
              </w:rPr>
              <w:t>Predvideno povečanje (+) ali zmanjšanje (</w:t>
            </w:r>
            <w:r w:rsidRPr="002D49BD">
              <w:rPr>
                <w:b/>
                <w:szCs w:val="20"/>
              </w:rPr>
              <w:t>–</w:t>
            </w:r>
            <w:r w:rsidRPr="002D49BD">
              <w:rPr>
                <w:rFonts w:cs="Arial"/>
                <w:bCs/>
                <w:szCs w:val="20"/>
              </w:rPr>
              <w:t xml:space="preserve">) odhodkov državnega proračuna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66F1C30" w14:textId="77777777" w:rsidR="00535B83" w:rsidRPr="002D49BD" w:rsidRDefault="00535B83" w:rsidP="00416654">
            <w:pPr>
              <w:widowControl w:val="0"/>
              <w:jc w:val="center"/>
              <w:rPr>
                <w:rFonts w:cs="Arial"/>
                <w:szCs w:val="20"/>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F99473C" w14:textId="77777777" w:rsidR="00535B83" w:rsidRPr="002D49BD" w:rsidRDefault="00535B83" w:rsidP="00416654">
            <w:pPr>
              <w:widowControl w:val="0"/>
              <w:jc w:val="center"/>
              <w:rPr>
                <w:rFonts w:cs="Arial"/>
                <w:szCs w:val="20"/>
              </w:rPr>
            </w:pPr>
          </w:p>
        </w:tc>
        <w:tc>
          <w:tcPr>
            <w:tcW w:w="1561" w:type="dxa"/>
            <w:gridSpan w:val="6"/>
            <w:tcBorders>
              <w:top w:val="single" w:sz="4" w:space="0" w:color="auto"/>
              <w:left w:val="single" w:sz="4" w:space="0" w:color="auto"/>
              <w:bottom w:val="single" w:sz="4" w:space="0" w:color="auto"/>
              <w:right w:val="single" w:sz="4" w:space="0" w:color="auto"/>
            </w:tcBorders>
            <w:vAlign w:val="center"/>
          </w:tcPr>
          <w:p w14:paraId="364EB4EB" w14:textId="77777777" w:rsidR="00535B83" w:rsidRPr="002D49BD" w:rsidRDefault="00535B83" w:rsidP="00416654">
            <w:pPr>
              <w:widowControl w:val="0"/>
              <w:jc w:val="center"/>
              <w:rPr>
                <w:rFonts w:cs="Arial"/>
                <w:szCs w:val="20"/>
              </w:rPr>
            </w:pPr>
          </w:p>
        </w:tc>
        <w:tc>
          <w:tcPr>
            <w:tcW w:w="1561" w:type="dxa"/>
            <w:tcBorders>
              <w:top w:val="single" w:sz="4" w:space="0" w:color="auto"/>
              <w:left w:val="single" w:sz="4" w:space="0" w:color="auto"/>
              <w:bottom w:val="single" w:sz="4" w:space="0" w:color="auto"/>
              <w:right w:val="single" w:sz="4" w:space="0" w:color="auto"/>
            </w:tcBorders>
            <w:vAlign w:val="center"/>
          </w:tcPr>
          <w:p w14:paraId="047F7969" w14:textId="77777777" w:rsidR="00535B83" w:rsidRPr="002D49BD" w:rsidRDefault="00535B83" w:rsidP="00416654">
            <w:pPr>
              <w:widowControl w:val="0"/>
              <w:jc w:val="center"/>
              <w:rPr>
                <w:rFonts w:cs="Arial"/>
                <w:szCs w:val="20"/>
              </w:rPr>
            </w:pPr>
          </w:p>
        </w:tc>
      </w:tr>
      <w:tr w:rsidR="00535B83" w:rsidRPr="002D49BD" w14:paraId="39FE4888" w14:textId="77777777" w:rsidTr="0040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8219C27" w14:textId="77777777" w:rsidR="00535B83" w:rsidRPr="002D49BD" w:rsidRDefault="00535B83" w:rsidP="00416654">
            <w:pPr>
              <w:widowControl w:val="0"/>
              <w:rPr>
                <w:rFonts w:cs="Arial"/>
                <w:bCs/>
                <w:szCs w:val="20"/>
              </w:rPr>
            </w:pPr>
            <w:r w:rsidRPr="002D49BD">
              <w:rPr>
                <w:rFonts w:cs="Arial"/>
                <w:bCs/>
                <w:szCs w:val="20"/>
              </w:rPr>
              <w:lastRenderedPageBreak/>
              <w:t>Predvideno povečanje (+) ali zmanjšanje (</w:t>
            </w:r>
            <w:r w:rsidRPr="002D49BD">
              <w:rPr>
                <w:b/>
                <w:szCs w:val="20"/>
              </w:rPr>
              <w:t>–</w:t>
            </w:r>
            <w:r w:rsidRPr="002D49BD">
              <w:rPr>
                <w:rFonts w:cs="Arial"/>
                <w:bCs/>
                <w:szCs w:val="20"/>
              </w:rPr>
              <w:t>) odhodkov občinskih proračunov</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C704102" w14:textId="77777777" w:rsidR="00535B83" w:rsidRPr="002D49BD" w:rsidRDefault="00402A67" w:rsidP="00416654">
            <w:pPr>
              <w:widowControl w:val="0"/>
              <w:jc w:val="center"/>
              <w:rPr>
                <w:rFonts w:cs="Arial"/>
                <w:szCs w:val="20"/>
              </w:rPr>
            </w:pPr>
            <w:r>
              <w:rPr>
                <w:rFonts w:cs="Arial"/>
                <w:szCs w:val="20"/>
              </w:rPr>
              <w:t xml:space="preserve">+ </w:t>
            </w:r>
            <w:r w:rsidRPr="00402A67">
              <w:rPr>
                <w:rFonts w:cs="Arial"/>
                <w:szCs w:val="20"/>
              </w:rPr>
              <w:t>158.068</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597AD672" w14:textId="77777777" w:rsidR="00535B83" w:rsidRPr="002D49BD" w:rsidRDefault="00402A67" w:rsidP="00416654">
            <w:pPr>
              <w:widowControl w:val="0"/>
              <w:jc w:val="center"/>
              <w:rPr>
                <w:rFonts w:cs="Arial"/>
                <w:szCs w:val="20"/>
              </w:rPr>
            </w:pPr>
            <w:r>
              <w:rPr>
                <w:rFonts w:cs="Arial"/>
                <w:szCs w:val="20"/>
              </w:rPr>
              <w:t xml:space="preserve">+ </w:t>
            </w:r>
            <w:r w:rsidRPr="00402A67">
              <w:rPr>
                <w:rFonts w:cs="Arial"/>
                <w:szCs w:val="20"/>
              </w:rPr>
              <w:t>1.022.655</w:t>
            </w:r>
          </w:p>
        </w:tc>
        <w:tc>
          <w:tcPr>
            <w:tcW w:w="1561" w:type="dxa"/>
            <w:gridSpan w:val="6"/>
            <w:tcBorders>
              <w:top w:val="single" w:sz="4" w:space="0" w:color="auto"/>
              <w:left w:val="single" w:sz="4" w:space="0" w:color="auto"/>
              <w:bottom w:val="single" w:sz="4" w:space="0" w:color="auto"/>
              <w:right w:val="single" w:sz="4" w:space="0" w:color="auto"/>
            </w:tcBorders>
            <w:vAlign w:val="center"/>
          </w:tcPr>
          <w:p w14:paraId="5881C2C2" w14:textId="77777777" w:rsidR="00535B83" w:rsidRPr="002D49BD" w:rsidRDefault="00402A67" w:rsidP="00416654">
            <w:pPr>
              <w:widowControl w:val="0"/>
              <w:jc w:val="center"/>
              <w:rPr>
                <w:rFonts w:cs="Arial"/>
                <w:szCs w:val="20"/>
              </w:rPr>
            </w:pPr>
            <w:r>
              <w:rPr>
                <w:rFonts w:cs="Arial"/>
                <w:szCs w:val="20"/>
              </w:rPr>
              <w:t xml:space="preserve">+ </w:t>
            </w:r>
            <w:r w:rsidRPr="00402A67">
              <w:rPr>
                <w:rFonts w:cs="Arial"/>
                <w:szCs w:val="20"/>
              </w:rPr>
              <w:t>1.121.655</w:t>
            </w:r>
          </w:p>
        </w:tc>
        <w:tc>
          <w:tcPr>
            <w:tcW w:w="1561" w:type="dxa"/>
            <w:tcBorders>
              <w:top w:val="single" w:sz="4" w:space="0" w:color="auto"/>
              <w:left w:val="single" w:sz="4" w:space="0" w:color="auto"/>
              <w:bottom w:val="single" w:sz="4" w:space="0" w:color="auto"/>
              <w:right w:val="single" w:sz="4" w:space="0" w:color="auto"/>
            </w:tcBorders>
            <w:vAlign w:val="center"/>
          </w:tcPr>
          <w:p w14:paraId="0519632C" w14:textId="77777777" w:rsidR="00535B83" w:rsidRPr="002D49BD" w:rsidRDefault="00402A67" w:rsidP="00416654">
            <w:pPr>
              <w:widowControl w:val="0"/>
              <w:jc w:val="center"/>
              <w:rPr>
                <w:rFonts w:cs="Arial"/>
                <w:szCs w:val="20"/>
              </w:rPr>
            </w:pPr>
            <w:r>
              <w:rPr>
                <w:rFonts w:cs="Arial"/>
                <w:szCs w:val="20"/>
              </w:rPr>
              <w:t xml:space="preserve">+ </w:t>
            </w:r>
            <w:r w:rsidRPr="00402A67">
              <w:rPr>
                <w:rFonts w:cs="Arial"/>
                <w:szCs w:val="20"/>
              </w:rPr>
              <w:t>1.146.405</w:t>
            </w:r>
          </w:p>
        </w:tc>
      </w:tr>
      <w:tr w:rsidR="00535B83" w:rsidRPr="002D49BD" w14:paraId="73249280" w14:textId="77777777" w:rsidTr="00402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B315010" w14:textId="77777777" w:rsidR="00535B83" w:rsidRPr="002D49BD" w:rsidRDefault="00535B83" w:rsidP="00416654">
            <w:pPr>
              <w:widowControl w:val="0"/>
              <w:rPr>
                <w:rFonts w:cs="Arial"/>
                <w:bCs/>
                <w:szCs w:val="20"/>
              </w:rPr>
            </w:pPr>
            <w:r w:rsidRPr="002D49BD">
              <w:rPr>
                <w:rFonts w:cs="Arial"/>
                <w:bCs/>
                <w:szCs w:val="20"/>
              </w:rPr>
              <w:t>Predvideno povečanje (+) ali zmanjšanje (</w:t>
            </w:r>
            <w:r w:rsidRPr="002D49BD">
              <w:rPr>
                <w:b/>
                <w:szCs w:val="20"/>
              </w:rPr>
              <w:t>–</w:t>
            </w:r>
            <w:r w:rsidRPr="002D49BD">
              <w:rPr>
                <w:rFonts w:cs="Arial"/>
                <w:bCs/>
                <w:szCs w:val="20"/>
              </w:rPr>
              <w:t>) obveznosti za druga javnofinančna sredstva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DD95AAA" w14:textId="77777777" w:rsidR="00535B83" w:rsidRPr="002D49BD" w:rsidRDefault="00535B83" w:rsidP="00416654">
            <w:pPr>
              <w:pStyle w:val="Naslov1"/>
              <w:keepNext w:val="0"/>
              <w:widowControl w:val="0"/>
              <w:tabs>
                <w:tab w:val="left" w:pos="360"/>
              </w:tabs>
              <w:spacing w:before="0" w:after="0"/>
              <w:jc w:val="center"/>
              <w:rPr>
                <w:rFonts w:cs="Arial"/>
                <w:b w:val="0"/>
                <w:bCs/>
                <w:sz w:val="20"/>
                <w:szCs w:val="20"/>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678187A" w14:textId="77777777" w:rsidR="00535B83" w:rsidRPr="002D49BD" w:rsidRDefault="00535B83" w:rsidP="00416654">
            <w:pPr>
              <w:pStyle w:val="Naslov1"/>
              <w:keepNext w:val="0"/>
              <w:widowControl w:val="0"/>
              <w:tabs>
                <w:tab w:val="left" w:pos="360"/>
              </w:tabs>
              <w:spacing w:before="0" w:after="0"/>
              <w:jc w:val="center"/>
              <w:rPr>
                <w:rFonts w:cs="Arial"/>
                <w:b w:val="0"/>
                <w:bCs/>
                <w:sz w:val="20"/>
                <w:szCs w:val="20"/>
              </w:rPr>
            </w:pPr>
          </w:p>
        </w:tc>
        <w:tc>
          <w:tcPr>
            <w:tcW w:w="1561" w:type="dxa"/>
            <w:gridSpan w:val="6"/>
            <w:tcBorders>
              <w:top w:val="single" w:sz="4" w:space="0" w:color="auto"/>
              <w:left w:val="single" w:sz="4" w:space="0" w:color="auto"/>
              <w:bottom w:val="single" w:sz="4" w:space="0" w:color="auto"/>
              <w:right w:val="single" w:sz="4" w:space="0" w:color="auto"/>
            </w:tcBorders>
            <w:vAlign w:val="center"/>
          </w:tcPr>
          <w:p w14:paraId="784FEFA9" w14:textId="77777777" w:rsidR="00535B83" w:rsidRPr="002D49BD" w:rsidRDefault="00535B83" w:rsidP="00416654">
            <w:pPr>
              <w:pStyle w:val="Naslov1"/>
              <w:keepNext w:val="0"/>
              <w:widowControl w:val="0"/>
              <w:tabs>
                <w:tab w:val="left" w:pos="360"/>
              </w:tabs>
              <w:spacing w:before="0" w:after="0"/>
              <w:jc w:val="center"/>
              <w:rPr>
                <w:rFonts w:cs="Arial"/>
                <w:b w:val="0"/>
                <w:sz w:val="20"/>
                <w:szCs w:val="20"/>
              </w:rPr>
            </w:pPr>
          </w:p>
        </w:tc>
        <w:tc>
          <w:tcPr>
            <w:tcW w:w="1561" w:type="dxa"/>
            <w:tcBorders>
              <w:top w:val="single" w:sz="4" w:space="0" w:color="auto"/>
              <w:left w:val="single" w:sz="4" w:space="0" w:color="auto"/>
              <w:bottom w:val="single" w:sz="4" w:space="0" w:color="auto"/>
              <w:right w:val="single" w:sz="4" w:space="0" w:color="auto"/>
            </w:tcBorders>
            <w:vAlign w:val="center"/>
          </w:tcPr>
          <w:p w14:paraId="2DAA239A" w14:textId="77777777" w:rsidR="00535B83" w:rsidRPr="002D49BD" w:rsidRDefault="00535B83" w:rsidP="00416654">
            <w:pPr>
              <w:pStyle w:val="Naslov1"/>
              <w:keepNext w:val="0"/>
              <w:widowControl w:val="0"/>
              <w:tabs>
                <w:tab w:val="left" w:pos="360"/>
              </w:tabs>
              <w:spacing w:before="0" w:after="0"/>
              <w:jc w:val="center"/>
              <w:rPr>
                <w:rFonts w:cs="Arial"/>
                <w:b w:val="0"/>
                <w:sz w:val="20"/>
                <w:szCs w:val="20"/>
              </w:rPr>
            </w:pPr>
          </w:p>
        </w:tc>
      </w:tr>
      <w:tr w:rsidR="00535B83" w:rsidRPr="002D49BD" w14:paraId="0F1C6686"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15243F" w14:textId="77777777" w:rsidR="00535B83" w:rsidRPr="002D49BD" w:rsidRDefault="00535B83" w:rsidP="00416654">
            <w:pPr>
              <w:pStyle w:val="Naslov1"/>
              <w:keepNext w:val="0"/>
              <w:widowControl w:val="0"/>
              <w:tabs>
                <w:tab w:val="left" w:pos="2340"/>
              </w:tabs>
              <w:spacing w:before="0" w:after="0"/>
              <w:ind w:left="142" w:hanging="142"/>
              <w:rPr>
                <w:rFonts w:cs="Arial"/>
                <w:sz w:val="20"/>
                <w:szCs w:val="20"/>
              </w:rPr>
            </w:pPr>
            <w:r w:rsidRPr="002D49BD">
              <w:rPr>
                <w:rFonts w:cs="Arial"/>
                <w:sz w:val="20"/>
                <w:szCs w:val="20"/>
              </w:rPr>
              <w:t>II. Finančne posledice za državni proračun</w:t>
            </w:r>
          </w:p>
        </w:tc>
      </w:tr>
      <w:tr w:rsidR="00535B83" w:rsidRPr="002D49BD" w14:paraId="406B438B"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95C9CB" w14:textId="77777777" w:rsidR="00535B83" w:rsidRPr="002D49BD" w:rsidRDefault="00535B83" w:rsidP="00416654">
            <w:pPr>
              <w:pStyle w:val="Naslov1"/>
              <w:keepNext w:val="0"/>
              <w:widowControl w:val="0"/>
              <w:tabs>
                <w:tab w:val="left" w:pos="2340"/>
              </w:tabs>
              <w:spacing w:before="0" w:after="0"/>
              <w:ind w:left="142" w:hanging="142"/>
              <w:rPr>
                <w:rFonts w:cs="Arial"/>
                <w:sz w:val="20"/>
                <w:szCs w:val="20"/>
              </w:rPr>
            </w:pPr>
            <w:proofErr w:type="spellStart"/>
            <w:r w:rsidRPr="002D49BD">
              <w:rPr>
                <w:rFonts w:cs="Arial"/>
                <w:sz w:val="20"/>
                <w:szCs w:val="20"/>
              </w:rPr>
              <w:t>II.a</w:t>
            </w:r>
            <w:proofErr w:type="spellEnd"/>
            <w:r w:rsidRPr="002D49BD">
              <w:rPr>
                <w:rFonts w:cs="Arial"/>
                <w:sz w:val="20"/>
                <w:szCs w:val="20"/>
              </w:rPr>
              <w:t xml:space="preserve"> Pravice porabe za izvedbo predlaganih rešitev so zagotovljene:</w:t>
            </w:r>
          </w:p>
        </w:tc>
      </w:tr>
      <w:tr w:rsidR="00535B83" w:rsidRPr="002D49BD" w14:paraId="3C82F294"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E0AFA51" w14:textId="77777777" w:rsidR="00535B83" w:rsidRPr="002D49BD" w:rsidRDefault="00535B83" w:rsidP="00416654">
            <w:pPr>
              <w:widowControl w:val="0"/>
              <w:jc w:val="center"/>
              <w:rPr>
                <w:rFonts w:cs="Arial"/>
                <w:szCs w:val="20"/>
              </w:rPr>
            </w:pPr>
            <w:r w:rsidRPr="002D49B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631F8ED" w14:textId="77777777" w:rsidR="00535B83" w:rsidRPr="002D49BD" w:rsidRDefault="00535B83" w:rsidP="00416654">
            <w:pPr>
              <w:widowControl w:val="0"/>
              <w:jc w:val="center"/>
              <w:rPr>
                <w:rFonts w:cs="Arial"/>
                <w:szCs w:val="20"/>
              </w:rPr>
            </w:pPr>
            <w:r w:rsidRPr="002D49B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276D8C" w14:textId="77777777" w:rsidR="00535B83" w:rsidRPr="002D49BD" w:rsidRDefault="00535B83" w:rsidP="00416654">
            <w:pPr>
              <w:widowControl w:val="0"/>
              <w:jc w:val="center"/>
              <w:rPr>
                <w:rFonts w:cs="Arial"/>
                <w:szCs w:val="20"/>
              </w:rPr>
            </w:pPr>
            <w:r w:rsidRPr="002D49BD">
              <w:rPr>
                <w:rFonts w:cs="Arial"/>
                <w:szCs w:val="20"/>
              </w:rPr>
              <w:t>Šifra in naziv proračunske postavke</w:t>
            </w:r>
          </w:p>
        </w:tc>
        <w:tc>
          <w:tcPr>
            <w:tcW w:w="1371" w:type="dxa"/>
            <w:gridSpan w:val="6"/>
            <w:tcBorders>
              <w:top w:val="single" w:sz="4" w:space="0" w:color="auto"/>
              <w:left w:val="single" w:sz="4" w:space="0" w:color="auto"/>
              <w:bottom w:val="single" w:sz="4" w:space="0" w:color="auto"/>
              <w:right w:val="single" w:sz="4" w:space="0" w:color="auto"/>
            </w:tcBorders>
            <w:vAlign w:val="center"/>
          </w:tcPr>
          <w:p w14:paraId="21A25859" w14:textId="77777777" w:rsidR="00535B83" w:rsidRPr="002D49BD" w:rsidRDefault="00535B83" w:rsidP="00416654">
            <w:pPr>
              <w:widowControl w:val="0"/>
              <w:jc w:val="center"/>
              <w:rPr>
                <w:rFonts w:cs="Arial"/>
                <w:szCs w:val="20"/>
              </w:rPr>
            </w:pPr>
            <w:r w:rsidRPr="002D49BD">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C24028E" w14:textId="77777777" w:rsidR="00535B83" w:rsidRPr="002D49BD" w:rsidRDefault="00535B83" w:rsidP="00416654">
            <w:pPr>
              <w:widowControl w:val="0"/>
              <w:jc w:val="center"/>
              <w:rPr>
                <w:rFonts w:cs="Arial"/>
                <w:szCs w:val="20"/>
              </w:rPr>
            </w:pPr>
            <w:r w:rsidRPr="002D49BD">
              <w:rPr>
                <w:rFonts w:cs="Arial"/>
                <w:szCs w:val="20"/>
              </w:rPr>
              <w:t>Znesek za t + 1</w:t>
            </w:r>
          </w:p>
        </w:tc>
      </w:tr>
      <w:tr w:rsidR="00535B83" w:rsidRPr="002D49BD" w14:paraId="528FF59E"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6A0EE50"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E31EAB"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1C7B63"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1371" w:type="dxa"/>
            <w:gridSpan w:val="6"/>
            <w:tcBorders>
              <w:top w:val="single" w:sz="4" w:space="0" w:color="auto"/>
              <w:left w:val="single" w:sz="4" w:space="0" w:color="auto"/>
              <w:bottom w:val="single" w:sz="4" w:space="0" w:color="auto"/>
              <w:right w:val="single" w:sz="4" w:space="0" w:color="auto"/>
            </w:tcBorders>
            <w:vAlign w:val="center"/>
          </w:tcPr>
          <w:p w14:paraId="09B642B6"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029E702"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r>
      <w:tr w:rsidR="00535B83" w:rsidRPr="002D49BD" w14:paraId="21495589"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7CE8995"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811B81"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908FFCC"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1371" w:type="dxa"/>
            <w:gridSpan w:val="6"/>
            <w:tcBorders>
              <w:top w:val="single" w:sz="4" w:space="0" w:color="auto"/>
              <w:left w:val="single" w:sz="4" w:space="0" w:color="auto"/>
              <w:bottom w:val="single" w:sz="4" w:space="0" w:color="auto"/>
              <w:right w:val="single" w:sz="4" w:space="0" w:color="auto"/>
            </w:tcBorders>
            <w:vAlign w:val="center"/>
          </w:tcPr>
          <w:p w14:paraId="694A3070"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E31384A"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r>
      <w:tr w:rsidR="00535B83" w:rsidRPr="002D49BD" w14:paraId="027AF8D6"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15633CC4" w14:textId="77777777" w:rsidR="00535B83" w:rsidRPr="002D49BD" w:rsidRDefault="00535B83" w:rsidP="00416654">
            <w:pPr>
              <w:pStyle w:val="Naslov1"/>
              <w:keepNext w:val="0"/>
              <w:widowControl w:val="0"/>
              <w:tabs>
                <w:tab w:val="left" w:pos="360"/>
              </w:tabs>
              <w:spacing w:before="0" w:after="0"/>
              <w:rPr>
                <w:rFonts w:cs="Arial"/>
                <w:sz w:val="20"/>
                <w:szCs w:val="20"/>
              </w:rPr>
            </w:pPr>
            <w:r w:rsidRPr="002D49BD">
              <w:rPr>
                <w:rFonts w:cs="Arial"/>
                <w:sz w:val="20"/>
                <w:szCs w:val="20"/>
              </w:rPr>
              <w:t>SKUPAJ</w:t>
            </w:r>
          </w:p>
        </w:tc>
        <w:tc>
          <w:tcPr>
            <w:tcW w:w="1371" w:type="dxa"/>
            <w:gridSpan w:val="6"/>
            <w:tcBorders>
              <w:top w:val="single" w:sz="4" w:space="0" w:color="auto"/>
              <w:left w:val="single" w:sz="4" w:space="0" w:color="auto"/>
              <w:bottom w:val="single" w:sz="4" w:space="0" w:color="auto"/>
              <w:right w:val="single" w:sz="4" w:space="0" w:color="auto"/>
            </w:tcBorders>
            <w:vAlign w:val="center"/>
          </w:tcPr>
          <w:p w14:paraId="1B1EF66F" w14:textId="77777777" w:rsidR="00535B83" w:rsidRPr="002D49BD" w:rsidRDefault="00535B83" w:rsidP="00416654">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DE0C1E4" w14:textId="77777777" w:rsidR="00535B83" w:rsidRPr="002D49BD" w:rsidRDefault="00535B83" w:rsidP="00416654">
            <w:pPr>
              <w:pStyle w:val="Naslov1"/>
              <w:keepNext w:val="0"/>
              <w:widowControl w:val="0"/>
              <w:tabs>
                <w:tab w:val="left" w:pos="360"/>
              </w:tabs>
              <w:spacing w:before="0" w:after="0"/>
              <w:rPr>
                <w:rFonts w:cs="Arial"/>
                <w:sz w:val="20"/>
                <w:szCs w:val="20"/>
              </w:rPr>
            </w:pPr>
          </w:p>
        </w:tc>
      </w:tr>
      <w:tr w:rsidR="00535B83" w:rsidRPr="002D49BD" w14:paraId="620ACCBA"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A8D547" w14:textId="77777777" w:rsidR="00535B83" w:rsidRPr="002D49BD" w:rsidRDefault="00535B83" w:rsidP="00416654">
            <w:pPr>
              <w:pStyle w:val="Naslov1"/>
              <w:keepNext w:val="0"/>
              <w:widowControl w:val="0"/>
              <w:tabs>
                <w:tab w:val="left" w:pos="2340"/>
              </w:tabs>
              <w:spacing w:before="0" w:after="0"/>
              <w:rPr>
                <w:rFonts w:cs="Arial"/>
                <w:sz w:val="20"/>
                <w:szCs w:val="20"/>
              </w:rPr>
            </w:pPr>
            <w:proofErr w:type="spellStart"/>
            <w:r w:rsidRPr="002D49BD">
              <w:rPr>
                <w:rFonts w:cs="Arial"/>
                <w:sz w:val="20"/>
                <w:szCs w:val="20"/>
              </w:rPr>
              <w:t>II.b</w:t>
            </w:r>
            <w:proofErr w:type="spellEnd"/>
            <w:r w:rsidRPr="002D49BD">
              <w:rPr>
                <w:rFonts w:cs="Arial"/>
                <w:sz w:val="20"/>
                <w:szCs w:val="20"/>
              </w:rPr>
              <w:t xml:space="preserve"> Manjkajoče pravice porabe bodo zagotovljene s prerazporeditvijo:</w:t>
            </w:r>
          </w:p>
        </w:tc>
      </w:tr>
      <w:tr w:rsidR="00535B83" w:rsidRPr="002D49BD" w14:paraId="40334B11"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35CD46F" w14:textId="77777777" w:rsidR="00535B83" w:rsidRPr="002D49BD" w:rsidRDefault="00535B83" w:rsidP="00416654">
            <w:pPr>
              <w:widowControl w:val="0"/>
              <w:jc w:val="center"/>
              <w:rPr>
                <w:rFonts w:cs="Arial"/>
                <w:szCs w:val="20"/>
              </w:rPr>
            </w:pPr>
            <w:r w:rsidRPr="002D49BD">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B4E9080" w14:textId="77777777" w:rsidR="00535B83" w:rsidRPr="002D49BD" w:rsidRDefault="00535B83" w:rsidP="00416654">
            <w:pPr>
              <w:widowControl w:val="0"/>
              <w:jc w:val="center"/>
              <w:rPr>
                <w:rFonts w:cs="Arial"/>
                <w:szCs w:val="20"/>
              </w:rPr>
            </w:pPr>
            <w:r w:rsidRPr="002D49B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0A40BE" w14:textId="77777777" w:rsidR="00535B83" w:rsidRPr="002D49BD" w:rsidRDefault="00535B83" w:rsidP="00416654">
            <w:pPr>
              <w:widowControl w:val="0"/>
              <w:jc w:val="center"/>
              <w:rPr>
                <w:rFonts w:cs="Arial"/>
                <w:szCs w:val="20"/>
              </w:rPr>
            </w:pPr>
            <w:r w:rsidRPr="002D49BD">
              <w:rPr>
                <w:rFonts w:cs="Arial"/>
                <w:szCs w:val="20"/>
              </w:rPr>
              <w:t xml:space="preserve">Šifra in naziv proračunske postavke </w:t>
            </w:r>
          </w:p>
        </w:tc>
        <w:tc>
          <w:tcPr>
            <w:tcW w:w="1371" w:type="dxa"/>
            <w:gridSpan w:val="6"/>
            <w:tcBorders>
              <w:top w:val="single" w:sz="4" w:space="0" w:color="auto"/>
              <w:left w:val="single" w:sz="4" w:space="0" w:color="auto"/>
              <w:bottom w:val="single" w:sz="4" w:space="0" w:color="auto"/>
              <w:right w:val="single" w:sz="4" w:space="0" w:color="auto"/>
            </w:tcBorders>
            <w:vAlign w:val="center"/>
          </w:tcPr>
          <w:p w14:paraId="24625C04" w14:textId="77777777" w:rsidR="00535B83" w:rsidRPr="002D49BD" w:rsidRDefault="00535B83" w:rsidP="00416654">
            <w:pPr>
              <w:widowControl w:val="0"/>
              <w:jc w:val="center"/>
              <w:rPr>
                <w:rFonts w:cs="Arial"/>
                <w:szCs w:val="20"/>
              </w:rPr>
            </w:pPr>
            <w:r w:rsidRPr="002D49BD">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C70D89F" w14:textId="77777777" w:rsidR="00535B83" w:rsidRPr="002D49BD" w:rsidRDefault="00535B83" w:rsidP="00416654">
            <w:pPr>
              <w:widowControl w:val="0"/>
              <w:jc w:val="center"/>
              <w:rPr>
                <w:rFonts w:cs="Arial"/>
                <w:szCs w:val="20"/>
              </w:rPr>
            </w:pPr>
            <w:r w:rsidRPr="002D49BD">
              <w:rPr>
                <w:rFonts w:cs="Arial"/>
                <w:szCs w:val="20"/>
              </w:rPr>
              <w:t xml:space="preserve">Znesek za t + 1 </w:t>
            </w:r>
          </w:p>
        </w:tc>
      </w:tr>
      <w:tr w:rsidR="00535B83" w:rsidRPr="002D49BD" w14:paraId="5B94CE4F"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AD39608"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2F75FD"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1CE56E2"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1371" w:type="dxa"/>
            <w:gridSpan w:val="6"/>
            <w:tcBorders>
              <w:top w:val="single" w:sz="4" w:space="0" w:color="auto"/>
              <w:left w:val="single" w:sz="4" w:space="0" w:color="auto"/>
              <w:bottom w:val="single" w:sz="4" w:space="0" w:color="auto"/>
              <w:right w:val="single" w:sz="4" w:space="0" w:color="auto"/>
            </w:tcBorders>
            <w:vAlign w:val="center"/>
          </w:tcPr>
          <w:p w14:paraId="03E7EC34"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35D4108"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r>
      <w:tr w:rsidR="00535B83" w:rsidRPr="002D49BD" w14:paraId="3A0AFA96"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6BB9705"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59D915B"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E1152"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1371" w:type="dxa"/>
            <w:gridSpan w:val="6"/>
            <w:tcBorders>
              <w:top w:val="single" w:sz="4" w:space="0" w:color="auto"/>
              <w:left w:val="single" w:sz="4" w:space="0" w:color="auto"/>
              <w:bottom w:val="single" w:sz="4" w:space="0" w:color="auto"/>
              <w:right w:val="single" w:sz="4" w:space="0" w:color="auto"/>
            </w:tcBorders>
            <w:vAlign w:val="center"/>
          </w:tcPr>
          <w:p w14:paraId="5A4B58A5"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7949453"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r>
      <w:tr w:rsidR="00535B83" w:rsidRPr="002D49BD" w14:paraId="5002087F"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523C1C71" w14:textId="77777777" w:rsidR="00535B83" w:rsidRPr="002D49BD" w:rsidRDefault="00535B83" w:rsidP="00416654">
            <w:pPr>
              <w:pStyle w:val="Naslov1"/>
              <w:keepNext w:val="0"/>
              <w:widowControl w:val="0"/>
              <w:tabs>
                <w:tab w:val="left" w:pos="360"/>
              </w:tabs>
              <w:spacing w:before="0" w:after="0"/>
              <w:rPr>
                <w:rFonts w:cs="Arial"/>
                <w:sz w:val="20"/>
                <w:szCs w:val="20"/>
              </w:rPr>
            </w:pPr>
            <w:r w:rsidRPr="002D49BD">
              <w:rPr>
                <w:rFonts w:cs="Arial"/>
                <w:sz w:val="20"/>
                <w:szCs w:val="20"/>
              </w:rPr>
              <w:t>SKUPAJ</w:t>
            </w:r>
          </w:p>
        </w:tc>
        <w:tc>
          <w:tcPr>
            <w:tcW w:w="1371" w:type="dxa"/>
            <w:gridSpan w:val="6"/>
            <w:tcBorders>
              <w:top w:val="single" w:sz="4" w:space="0" w:color="auto"/>
              <w:left w:val="single" w:sz="4" w:space="0" w:color="auto"/>
              <w:bottom w:val="single" w:sz="4" w:space="0" w:color="auto"/>
              <w:right w:val="single" w:sz="4" w:space="0" w:color="auto"/>
            </w:tcBorders>
            <w:vAlign w:val="center"/>
          </w:tcPr>
          <w:p w14:paraId="671BED9F" w14:textId="77777777" w:rsidR="00535B83" w:rsidRPr="002D49BD" w:rsidRDefault="00535B83" w:rsidP="00416654">
            <w:pPr>
              <w:pStyle w:val="Naslov1"/>
              <w:keepNext w:val="0"/>
              <w:widowControl w:val="0"/>
              <w:tabs>
                <w:tab w:val="left" w:pos="360"/>
              </w:tabs>
              <w:spacing w:before="0" w:after="0"/>
              <w:rPr>
                <w:rFonts w:cs="Arial"/>
                <w:sz w:val="20"/>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77CD0C" w14:textId="77777777" w:rsidR="00535B83" w:rsidRPr="002D49BD" w:rsidRDefault="00535B83" w:rsidP="00416654">
            <w:pPr>
              <w:pStyle w:val="Naslov1"/>
              <w:keepNext w:val="0"/>
              <w:widowControl w:val="0"/>
              <w:tabs>
                <w:tab w:val="left" w:pos="360"/>
              </w:tabs>
              <w:spacing w:before="0" w:after="0"/>
              <w:rPr>
                <w:rFonts w:cs="Arial"/>
                <w:sz w:val="20"/>
                <w:szCs w:val="20"/>
              </w:rPr>
            </w:pPr>
          </w:p>
        </w:tc>
      </w:tr>
      <w:tr w:rsidR="00535B83" w:rsidRPr="002D49BD" w14:paraId="793D5E0B"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0CC062" w14:textId="77777777" w:rsidR="00535B83" w:rsidRPr="002D49BD" w:rsidRDefault="00535B83" w:rsidP="00416654">
            <w:pPr>
              <w:pStyle w:val="Naslov1"/>
              <w:keepNext w:val="0"/>
              <w:widowControl w:val="0"/>
              <w:tabs>
                <w:tab w:val="left" w:pos="2340"/>
              </w:tabs>
              <w:spacing w:before="0" w:after="0"/>
              <w:rPr>
                <w:rFonts w:cs="Arial"/>
                <w:sz w:val="20"/>
                <w:szCs w:val="20"/>
              </w:rPr>
            </w:pPr>
            <w:proofErr w:type="spellStart"/>
            <w:r w:rsidRPr="002D49BD">
              <w:rPr>
                <w:rFonts w:cs="Arial"/>
                <w:sz w:val="20"/>
                <w:szCs w:val="20"/>
              </w:rPr>
              <w:t>II.c</w:t>
            </w:r>
            <w:proofErr w:type="spellEnd"/>
            <w:r w:rsidRPr="002D49BD">
              <w:rPr>
                <w:rFonts w:cs="Arial"/>
                <w:sz w:val="20"/>
                <w:szCs w:val="20"/>
              </w:rPr>
              <w:t xml:space="preserve"> Načrtovana nadomestitev zmanjšanih prihodkov in povečanih odhodkov proračuna:</w:t>
            </w:r>
          </w:p>
        </w:tc>
      </w:tr>
      <w:tr w:rsidR="00535B83" w:rsidRPr="002D49BD" w14:paraId="56301FB8"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24DC24F" w14:textId="77777777" w:rsidR="00535B83" w:rsidRPr="002D49BD" w:rsidRDefault="00535B83" w:rsidP="00416654">
            <w:pPr>
              <w:widowControl w:val="0"/>
              <w:ind w:left="-122" w:right="-112"/>
              <w:jc w:val="center"/>
              <w:rPr>
                <w:rFonts w:cs="Arial"/>
                <w:szCs w:val="20"/>
              </w:rPr>
            </w:pPr>
            <w:r w:rsidRPr="002D49BD">
              <w:rPr>
                <w:rFonts w:cs="Arial"/>
                <w:szCs w:val="20"/>
              </w:rPr>
              <w:t>Novi prihodki</w:t>
            </w: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3C242358" w14:textId="77777777" w:rsidR="00535B83" w:rsidRPr="002D49BD" w:rsidRDefault="00535B83" w:rsidP="00416654">
            <w:pPr>
              <w:widowControl w:val="0"/>
              <w:ind w:left="-122" w:right="-112"/>
              <w:jc w:val="center"/>
              <w:rPr>
                <w:rFonts w:cs="Arial"/>
                <w:szCs w:val="20"/>
              </w:rPr>
            </w:pPr>
            <w:r w:rsidRPr="002D49BD">
              <w:rPr>
                <w:rFonts w:cs="Arial"/>
                <w:szCs w:val="20"/>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516CCE38" w14:textId="77777777" w:rsidR="00535B83" w:rsidRPr="002D49BD" w:rsidRDefault="00535B83" w:rsidP="00416654">
            <w:pPr>
              <w:widowControl w:val="0"/>
              <w:ind w:left="-122" w:right="-112"/>
              <w:jc w:val="center"/>
              <w:rPr>
                <w:rFonts w:cs="Arial"/>
                <w:szCs w:val="20"/>
              </w:rPr>
            </w:pPr>
            <w:r w:rsidRPr="002D49BD">
              <w:rPr>
                <w:rFonts w:cs="Arial"/>
                <w:szCs w:val="20"/>
              </w:rPr>
              <w:t>Znesek za t + 1</w:t>
            </w:r>
          </w:p>
        </w:tc>
      </w:tr>
      <w:tr w:rsidR="00535B83" w:rsidRPr="002D49BD" w14:paraId="57D540E5"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F3DCCD5"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50E7CBF0"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678797BE"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r>
      <w:tr w:rsidR="00535B83" w:rsidRPr="002D49BD" w14:paraId="10885ADA"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B27681C"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21D1C8A0"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80A5C6C"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r>
      <w:tr w:rsidR="00535B83" w:rsidRPr="002D49BD" w14:paraId="6AD01510"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A1218D6"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034FBA10"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24A1B601" w14:textId="77777777" w:rsidR="00535B83" w:rsidRPr="002D49BD" w:rsidRDefault="00535B83" w:rsidP="00416654">
            <w:pPr>
              <w:pStyle w:val="Naslov1"/>
              <w:keepNext w:val="0"/>
              <w:widowControl w:val="0"/>
              <w:tabs>
                <w:tab w:val="left" w:pos="360"/>
              </w:tabs>
              <w:spacing w:before="0" w:after="0"/>
              <w:rPr>
                <w:rFonts w:cs="Arial"/>
                <w:b w:val="0"/>
                <w:bCs/>
                <w:sz w:val="20"/>
                <w:szCs w:val="20"/>
              </w:rPr>
            </w:pPr>
          </w:p>
        </w:tc>
      </w:tr>
      <w:tr w:rsidR="00535B83" w:rsidRPr="002D49BD" w14:paraId="0B07D847" w14:textId="77777777" w:rsidTr="00CA67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BC4E958" w14:textId="77777777" w:rsidR="00535B83" w:rsidRPr="002D49BD" w:rsidRDefault="00535B83" w:rsidP="00416654">
            <w:pPr>
              <w:pStyle w:val="Naslov1"/>
              <w:keepNext w:val="0"/>
              <w:widowControl w:val="0"/>
              <w:tabs>
                <w:tab w:val="left" w:pos="360"/>
              </w:tabs>
              <w:spacing w:before="0" w:after="0"/>
              <w:rPr>
                <w:rFonts w:cs="Arial"/>
                <w:sz w:val="20"/>
                <w:szCs w:val="20"/>
              </w:rPr>
            </w:pPr>
            <w:r w:rsidRPr="002D49BD">
              <w:rPr>
                <w:rFonts w:cs="Arial"/>
                <w:sz w:val="20"/>
                <w:szCs w:val="20"/>
              </w:rPr>
              <w:t>SKUPAJ</w:t>
            </w:r>
          </w:p>
        </w:tc>
        <w:tc>
          <w:tcPr>
            <w:tcW w:w="2013" w:type="dxa"/>
            <w:gridSpan w:val="5"/>
            <w:tcBorders>
              <w:top w:val="single" w:sz="4" w:space="0" w:color="auto"/>
              <w:left w:val="single" w:sz="4" w:space="0" w:color="auto"/>
              <w:bottom w:val="single" w:sz="4" w:space="0" w:color="auto"/>
              <w:right w:val="single" w:sz="4" w:space="0" w:color="auto"/>
            </w:tcBorders>
            <w:vAlign w:val="center"/>
          </w:tcPr>
          <w:p w14:paraId="5C38A969" w14:textId="77777777" w:rsidR="00535B83" w:rsidRPr="002D49BD" w:rsidRDefault="00535B83" w:rsidP="00416654">
            <w:pPr>
              <w:pStyle w:val="Naslov1"/>
              <w:keepNext w:val="0"/>
              <w:widowControl w:val="0"/>
              <w:tabs>
                <w:tab w:val="left" w:pos="360"/>
              </w:tabs>
              <w:spacing w:before="0" w:after="0"/>
              <w:rPr>
                <w:rFonts w:cs="Arial"/>
                <w:sz w:val="20"/>
                <w:szCs w:val="20"/>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4C81630" w14:textId="77777777" w:rsidR="00535B83" w:rsidRPr="002D49BD" w:rsidRDefault="00535B83" w:rsidP="00416654">
            <w:pPr>
              <w:pStyle w:val="Naslov1"/>
              <w:keepNext w:val="0"/>
              <w:widowControl w:val="0"/>
              <w:tabs>
                <w:tab w:val="left" w:pos="360"/>
              </w:tabs>
              <w:spacing w:before="0" w:after="0"/>
              <w:rPr>
                <w:rFonts w:cs="Arial"/>
                <w:sz w:val="20"/>
                <w:szCs w:val="20"/>
              </w:rPr>
            </w:pPr>
          </w:p>
        </w:tc>
      </w:tr>
      <w:tr w:rsidR="00535B83" w:rsidRPr="002D49BD" w14:paraId="18BDC502" w14:textId="77777777" w:rsidTr="00CA678E">
        <w:trPr>
          <w:trHeight w:val="1910"/>
        </w:trPr>
        <w:tc>
          <w:tcPr>
            <w:tcW w:w="9100" w:type="dxa"/>
            <w:gridSpan w:val="14"/>
          </w:tcPr>
          <w:p w14:paraId="4700CF0B" w14:textId="77777777" w:rsidR="00535B83" w:rsidRPr="002D49BD" w:rsidRDefault="00535B83" w:rsidP="00416654">
            <w:pPr>
              <w:widowControl w:val="0"/>
              <w:rPr>
                <w:rFonts w:cs="Arial"/>
                <w:b/>
                <w:szCs w:val="20"/>
              </w:rPr>
            </w:pPr>
          </w:p>
          <w:p w14:paraId="0513BC21" w14:textId="77777777" w:rsidR="00535B83" w:rsidRPr="002D49BD" w:rsidRDefault="00535B83" w:rsidP="00416654">
            <w:pPr>
              <w:widowControl w:val="0"/>
              <w:rPr>
                <w:rFonts w:cs="Arial"/>
                <w:b/>
                <w:szCs w:val="20"/>
              </w:rPr>
            </w:pPr>
            <w:r w:rsidRPr="002D49BD">
              <w:rPr>
                <w:rFonts w:cs="Arial"/>
                <w:b/>
                <w:szCs w:val="20"/>
              </w:rPr>
              <w:t>OBRAZLOŽITEV:</w:t>
            </w:r>
          </w:p>
          <w:p w14:paraId="6124FD60" w14:textId="77777777" w:rsidR="00535B83" w:rsidRPr="002D49BD" w:rsidRDefault="00535B83" w:rsidP="00CA678E">
            <w:pPr>
              <w:widowControl w:val="0"/>
              <w:numPr>
                <w:ilvl w:val="0"/>
                <w:numId w:val="10"/>
              </w:numPr>
              <w:suppressAutoHyphens/>
              <w:spacing w:line="260" w:lineRule="exact"/>
              <w:ind w:left="284" w:hanging="284"/>
              <w:jc w:val="both"/>
              <w:rPr>
                <w:rFonts w:cs="Arial"/>
                <w:b/>
                <w:szCs w:val="20"/>
                <w:lang w:eastAsia="sl-SI"/>
              </w:rPr>
            </w:pPr>
            <w:r w:rsidRPr="002D49BD">
              <w:rPr>
                <w:rFonts w:cs="Arial"/>
                <w:b/>
                <w:szCs w:val="20"/>
                <w:lang w:eastAsia="sl-SI"/>
              </w:rPr>
              <w:t>Ocena finančnih posledic, ki niso načrtovane v sprejetem proračunu</w:t>
            </w:r>
          </w:p>
          <w:p w14:paraId="63193F56" w14:textId="77777777" w:rsidR="00535B83" w:rsidRPr="002D49BD" w:rsidRDefault="00817A4F" w:rsidP="00817A4F">
            <w:pPr>
              <w:widowControl w:val="0"/>
              <w:suppressAutoHyphens/>
              <w:spacing w:line="260" w:lineRule="exact"/>
              <w:ind w:left="720"/>
              <w:jc w:val="both"/>
              <w:rPr>
                <w:rFonts w:cs="Arial"/>
                <w:szCs w:val="20"/>
              </w:rPr>
            </w:pPr>
            <w:r w:rsidRPr="002D49BD">
              <w:rPr>
                <w:rFonts w:cs="Arial"/>
                <w:szCs w:val="20"/>
                <w:lang w:eastAsia="sl-SI"/>
              </w:rPr>
              <w:t>Uredba ne bo imela neposrednih finančnih posledic za sprejet proračun</w:t>
            </w:r>
            <w:r w:rsidR="00535B83" w:rsidRPr="002D49BD">
              <w:rPr>
                <w:rFonts w:cs="Arial"/>
                <w:szCs w:val="20"/>
                <w:lang w:eastAsia="sl-SI"/>
              </w:rPr>
              <w:t>.</w:t>
            </w:r>
          </w:p>
          <w:p w14:paraId="5A9FC2EC" w14:textId="77777777" w:rsidR="00535B83" w:rsidRPr="002D49BD" w:rsidRDefault="00535B83" w:rsidP="00416654">
            <w:pPr>
              <w:widowControl w:val="0"/>
              <w:ind w:left="284"/>
              <w:rPr>
                <w:rFonts w:cs="Arial"/>
                <w:szCs w:val="20"/>
                <w:lang w:eastAsia="sl-SI"/>
              </w:rPr>
            </w:pPr>
          </w:p>
          <w:p w14:paraId="3E05BB2A" w14:textId="77777777" w:rsidR="00535B83" w:rsidRPr="002D49BD" w:rsidRDefault="00535B83" w:rsidP="00CA678E">
            <w:pPr>
              <w:widowControl w:val="0"/>
              <w:numPr>
                <w:ilvl w:val="0"/>
                <w:numId w:val="10"/>
              </w:numPr>
              <w:suppressAutoHyphens/>
              <w:spacing w:line="260" w:lineRule="exact"/>
              <w:ind w:left="284" w:hanging="284"/>
              <w:jc w:val="both"/>
              <w:rPr>
                <w:rFonts w:cs="Arial"/>
                <w:b/>
                <w:szCs w:val="20"/>
                <w:lang w:eastAsia="sl-SI"/>
              </w:rPr>
            </w:pPr>
            <w:r w:rsidRPr="002D49BD">
              <w:rPr>
                <w:rFonts w:cs="Arial"/>
                <w:b/>
                <w:szCs w:val="20"/>
                <w:lang w:eastAsia="sl-SI"/>
              </w:rPr>
              <w:t>Finančne posledice za državni proračun</w:t>
            </w:r>
          </w:p>
          <w:p w14:paraId="7CEA1584" w14:textId="77777777" w:rsidR="00535B83" w:rsidRPr="002D49BD" w:rsidRDefault="00535B83" w:rsidP="00416654">
            <w:pPr>
              <w:widowControl w:val="0"/>
              <w:ind w:left="284"/>
              <w:jc w:val="both"/>
              <w:rPr>
                <w:rFonts w:cs="Arial"/>
                <w:szCs w:val="20"/>
                <w:lang w:eastAsia="sl-SI"/>
              </w:rPr>
            </w:pPr>
            <w:r w:rsidRPr="002D49BD">
              <w:rPr>
                <w:rFonts w:cs="Arial"/>
                <w:szCs w:val="20"/>
                <w:lang w:eastAsia="sl-SI"/>
              </w:rPr>
              <w:t>Prikazane morajo biti finančne posledice za državni proračun, ki so na proračunskih postavkah načrtovane v dinamiki projektov oziroma ukrepov:</w:t>
            </w:r>
          </w:p>
          <w:p w14:paraId="3B48724C" w14:textId="77777777" w:rsidR="00535B83" w:rsidRPr="002D49BD" w:rsidRDefault="00535B83" w:rsidP="00416654">
            <w:pPr>
              <w:widowControl w:val="0"/>
              <w:suppressAutoHyphens/>
              <w:ind w:left="720"/>
              <w:jc w:val="both"/>
              <w:rPr>
                <w:rFonts w:cs="Arial"/>
                <w:b/>
                <w:szCs w:val="20"/>
                <w:lang w:eastAsia="sl-SI"/>
              </w:rPr>
            </w:pPr>
            <w:proofErr w:type="spellStart"/>
            <w:r w:rsidRPr="002D49BD">
              <w:rPr>
                <w:rFonts w:cs="Arial"/>
                <w:b/>
                <w:szCs w:val="20"/>
                <w:lang w:eastAsia="sl-SI"/>
              </w:rPr>
              <w:t>II.a</w:t>
            </w:r>
            <w:proofErr w:type="spellEnd"/>
            <w:r w:rsidRPr="002D49BD">
              <w:rPr>
                <w:rFonts w:cs="Arial"/>
                <w:b/>
                <w:szCs w:val="20"/>
                <w:lang w:eastAsia="sl-SI"/>
              </w:rPr>
              <w:t xml:space="preserve"> Pravice porabe za izvedbo predlaganih rešitev so zagotovljene:</w:t>
            </w:r>
          </w:p>
          <w:p w14:paraId="6555A580" w14:textId="77777777" w:rsidR="00817A4F" w:rsidRPr="002D49BD" w:rsidRDefault="00817A4F" w:rsidP="00817A4F">
            <w:pPr>
              <w:widowControl w:val="0"/>
              <w:suppressAutoHyphens/>
              <w:spacing w:line="260" w:lineRule="exact"/>
              <w:ind w:left="720"/>
              <w:jc w:val="both"/>
              <w:rPr>
                <w:rFonts w:cs="Arial"/>
                <w:szCs w:val="20"/>
              </w:rPr>
            </w:pPr>
            <w:r w:rsidRPr="002D49BD">
              <w:rPr>
                <w:rFonts w:cs="Arial"/>
                <w:szCs w:val="20"/>
                <w:lang w:eastAsia="sl-SI"/>
              </w:rPr>
              <w:t>Uredba ne bo imela finančnih posledic za proračun.</w:t>
            </w:r>
          </w:p>
          <w:p w14:paraId="21BAFBD0" w14:textId="77777777" w:rsidR="00535B83" w:rsidRPr="002D49BD" w:rsidRDefault="00535B83" w:rsidP="00416654">
            <w:pPr>
              <w:widowControl w:val="0"/>
              <w:ind w:left="284"/>
              <w:jc w:val="both"/>
              <w:rPr>
                <w:rFonts w:cs="Arial"/>
                <w:szCs w:val="20"/>
                <w:lang w:eastAsia="sl-SI"/>
              </w:rPr>
            </w:pPr>
          </w:p>
          <w:p w14:paraId="1D5B2C03" w14:textId="77777777" w:rsidR="00535B83" w:rsidRPr="002D49BD" w:rsidRDefault="00535B83" w:rsidP="00416654">
            <w:pPr>
              <w:widowControl w:val="0"/>
              <w:suppressAutoHyphens/>
              <w:ind w:left="714"/>
              <w:jc w:val="both"/>
              <w:rPr>
                <w:rFonts w:cs="Arial"/>
                <w:b/>
                <w:szCs w:val="20"/>
                <w:lang w:eastAsia="sl-SI"/>
              </w:rPr>
            </w:pPr>
            <w:proofErr w:type="spellStart"/>
            <w:r w:rsidRPr="002D49BD">
              <w:rPr>
                <w:rFonts w:cs="Arial"/>
                <w:b/>
                <w:szCs w:val="20"/>
                <w:lang w:eastAsia="sl-SI"/>
              </w:rPr>
              <w:t>II.b</w:t>
            </w:r>
            <w:proofErr w:type="spellEnd"/>
            <w:r w:rsidRPr="002D49BD">
              <w:rPr>
                <w:rFonts w:cs="Arial"/>
                <w:b/>
                <w:szCs w:val="20"/>
                <w:lang w:eastAsia="sl-SI"/>
              </w:rPr>
              <w:t xml:space="preserve"> Manjkajoče pravice porabe bodo zagotovljene s prerazporeditvijo:</w:t>
            </w:r>
          </w:p>
          <w:p w14:paraId="4DB43393" w14:textId="77777777" w:rsidR="00535B83" w:rsidRDefault="00817A4F" w:rsidP="00416654">
            <w:pPr>
              <w:widowControl w:val="0"/>
              <w:ind w:left="284"/>
              <w:jc w:val="both"/>
              <w:rPr>
                <w:rFonts w:cs="Arial"/>
                <w:szCs w:val="20"/>
                <w:lang w:eastAsia="sl-SI"/>
              </w:rPr>
            </w:pPr>
            <w:r w:rsidRPr="002D49BD">
              <w:rPr>
                <w:rFonts w:cs="Arial"/>
                <w:szCs w:val="20"/>
                <w:lang w:eastAsia="sl-SI"/>
              </w:rPr>
              <w:tab/>
              <w:t>Uredba ne bo imela finančnih posledic za proračun.</w:t>
            </w:r>
          </w:p>
          <w:p w14:paraId="152B68FE" w14:textId="77777777" w:rsidR="00402A67" w:rsidRPr="002D49BD" w:rsidRDefault="00402A67" w:rsidP="00416654">
            <w:pPr>
              <w:widowControl w:val="0"/>
              <w:ind w:left="284"/>
              <w:jc w:val="both"/>
              <w:rPr>
                <w:rFonts w:cs="Arial"/>
                <w:szCs w:val="20"/>
                <w:lang w:eastAsia="sl-SI"/>
              </w:rPr>
            </w:pPr>
          </w:p>
          <w:p w14:paraId="3D67A2E7" w14:textId="77777777" w:rsidR="00535B83" w:rsidRPr="002D49BD" w:rsidRDefault="00535B83" w:rsidP="00416654">
            <w:pPr>
              <w:widowControl w:val="0"/>
              <w:suppressAutoHyphens/>
              <w:ind w:left="714"/>
              <w:jc w:val="both"/>
              <w:rPr>
                <w:rFonts w:cs="Arial"/>
                <w:b/>
                <w:szCs w:val="20"/>
                <w:lang w:eastAsia="sl-SI"/>
              </w:rPr>
            </w:pPr>
            <w:proofErr w:type="spellStart"/>
            <w:r w:rsidRPr="002D49BD">
              <w:rPr>
                <w:rFonts w:cs="Arial"/>
                <w:b/>
                <w:szCs w:val="20"/>
                <w:lang w:eastAsia="sl-SI"/>
              </w:rPr>
              <w:t>II.c</w:t>
            </w:r>
            <w:proofErr w:type="spellEnd"/>
            <w:r w:rsidRPr="002D49BD">
              <w:rPr>
                <w:rFonts w:cs="Arial"/>
                <w:b/>
                <w:szCs w:val="20"/>
                <w:lang w:eastAsia="sl-SI"/>
              </w:rPr>
              <w:t xml:space="preserve"> Načrtovana nadomestitev zmanjšanih prihodkov in povečanih odhodkov proračuna:</w:t>
            </w:r>
          </w:p>
          <w:p w14:paraId="4BE14E76" w14:textId="77777777" w:rsidR="00535B83" w:rsidRPr="002D49BD" w:rsidRDefault="00817A4F" w:rsidP="00416654">
            <w:pPr>
              <w:widowControl w:val="0"/>
              <w:ind w:left="284"/>
              <w:jc w:val="both"/>
              <w:rPr>
                <w:rFonts w:cs="Arial"/>
                <w:szCs w:val="20"/>
                <w:lang w:eastAsia="sl-SI"/>
              </w:rPr>
            </w:pPr>
            <w:r w:rsidRPr="002D49BD">
              <w:rPr>
                <w:rFonts w:cs="Arial"/>
                <w:szCs w:val="20"/>
                <w:lang w:eastAsia="sl-SI"/>
              </w:rPr>
              <w:tab/>
              <w:t>Uredba ne bo imela finančnih posledic za proračun</w:t>
            </w:r>
            <w:r w:rsidR="00535B83" w:rsidRPr="002D49BD">
              <w:rPr>
                <w:rFonts w:cs="Arial"/>
                <w:szCs w:val="20"/>
                <w:lang w:eastAsia="sl-SI"/>
              </w:rPr>
              <w:t>.</w:t>
            </w:r>
          </w:p>
          <w:p w14:paraId="1D8BD6D7" w14:textId="77777777" w:rsidR="00535B83" w:rsidRPr="002D49BD" w:rsidRDefault="00535B83" w:rsidP="00416654">
            <w:pPr>
              <w:pStyle w:val="Vrstapredpisa"/>
              <w:widowControl w:val="0"/>
              <w:spacing w:before="0" w:line="260" w:lineRule="exact"/>
              <w:jc w:val="both"/>
              <w:rPr>
                <w:color w:val="auto"/>
                <w:sz w:val="20"/>
                <w:szCs w:val="20"/>
              </w:rPr>
            </w:pPr>
          </w:p>
        </w:tc>
      </w:tr>
      <w:tr w:rsidR="00535B83" w:rsidRPr="002D49BD" w14:paraId="27F507C8" w14:textId="77777777" w:rsidTr="00CA678E">
        <w:trPr>
          <w:trHeight w:val="1152"/>
        </w:trPr>
        <w:tc>
          <w:tcPr>
            <w:tcW w:w="9100" w:type="dxa"/>
            <w:gridSpan w:val="14"/>
            <w:tcBorders>
              <w:top w:val="single" w:sz="4" w:space="0" w:color="000000"/>
              <w:left w:val="single" w:sz="4" w:space="0" w:color="000000"/>
              <w:bottom w:val="single" w:sz="4" w:space="0" w:color="000000"/>
              <w:right w:val="single" w:sz="4" w:space="0" w:color="000000"/>
            </w:tcBorders>
          </w:tcPr>
          <w:p w14:paraId="433B9B78" w14:textId="77777777" w:rsidR="00535B83" w:rsidRPr="002D49BD" w:rsidRDefault="00535B83" w:rsidP="00416654">
            <w:pPr>
              <w:rPr>
                <w:rFonts w:cs="Arial"/>
                <w:b/>
                <w:szCs w:val="20"/>
              </w:rPr>
            </w:pPr>
            <w:proofErr w:type="spellStart"/>
            <w:r w:rsidRPr="002D49BD">
              <w:rPr>
                <w:rFonts w:cs="Arial"/>
                <w:b/>
                <w:szCs w:val="20"/>
              </w:rPr>
              <w:lastRenderedPageBreak/>
              <w:t>7.b</w:t>
            </w:r>
            <w:proofErr w:type="spellEnd"/>
            <w:r w:rsidRPr="002D49BD">
              <w:rPr>
                <w:rFonts w:cs="Arial"/>
                <w:b/>
                <w:szCs w:val="20"/>
              </w:rPr>
              <w:t xml:space="preserve"> Predstavitev ocene finančnih posledic pod 40.000 EUR:</w:t>
            </w:r>
          </w:p>
          <w:p w14:paraId="60C817D8" w14:textId="77777777" w:rsidR="00535B83" w:rsidRPr="002D49BD" w:rsidRDefault="00535B83" w:rsidP="00416654">
            <w:pPr>
              <w:rPr>
                <w:rFonts w:cs="Arial"/>
                <w:szCs w:val="20"/>
              </w:rPr>
            </w:pPr>
            <w:r w:rsidRPr="002D49BD">
              <w:rPr>
                <w:rFonts w:cs="Arial"/>
                <w:szCs w:val="20"/>
              </w:rPr>
              <w:t>(Samo če izberete NE pod točko 6.a.)</w:t>
            </w:r>
          </w:p>
          <w:p w14:paraId="77479DB8" w14:textId="77777777" w:rsidR="00535B83" w:rsidRPr="002D49BD" w:rsidRDefault="00535B83" w:rsidP="00416654">
            <w:pPr>
              <w:rPr>
                <w:rFonts w:cs="Arial"/>
                <w:b/>
                <w:szCs w:val="20"/>
              </w:rPr>
            </w:pPr>
            <w:r w:rsidRPr="002D49BD">
              <w:rPr>
                <w:rFonts w:cs="Arial"/>
                <w:b/>
                <w:szCs w:val="20"/>
              </w:rPr>
              <w:t>Kratka obrazložitev</w:t>
            </w:r>
          </w:p>
          <w:p w14:paraId="117A9D66" w14:textId="77777777" w:rsidR="00535B83" w:rsidRPr="002D49BD" w:rsidRDefault="007D29C2" w:rsidP="00416654">
            <w:pPr>
              <w:rPr>
                <w:rFonts w:cs="Arial"/>
                <w:szCs w:val="20"/>
              </w:rPr>
            </w:pPr>
            <w:r w:rsidRPr="002D49BD">
              <w:rPr>
                <w:rFonts w:cs="Arial"/>
                <w:szCs w:val="20"/>
              </w:rPr>
              <w:t>Uredba ne vpliva na državni proračun</w:t>
            </w:r>
            <w:r w:rsidR="00817A4F" w:rsidRPr="002D49BD">
              <w:rPr>
                <w:rFonts w:cs="Arial"/>
                <w:szCs w:val="20"/>
              </w:rPr>
              <w:t>.</w:t>
            </w:r>
          </w:p>
        </w:tc>
      </w:tr>
      <w:tr w:rsidR="00535B83" w:rsidRPr="002D49BD" w14:paraId="4F03B560" w14:textId="77777777" w:rsidTr="00CA678E">
        <w:trPr>
          <w:trHeight w:val="371"/>
        </w:trPr>
        <w:tc>
          <w:tcPr>
            <w:tcW w:w="9100" w:type="dxa"/>
            <w:gridSpan w:val="14"/>
            <w:tcBorders>
              <w:top w:val="single" w:sz="4" w:space="0" w:color="000000"/>
              <w:left w:val="single" w:sz="4" w:space="0" w:color="000000"/>
              <w:bottom w:val="single" w:sz="4" w:space="0" w:color="000000"/>
              <w:right w:val="single" w:sz="4" w:space="0" w:color="000000"/>
            </w:tcBorders>
          </w:tcPr>
          <w:p w14:paraId="7E384032" w14:textId="77777777" w:rsidR="00535B83" w:rsidRPr="002D49BD" w:rsidRDefault="00535B83" w:rsidP="00416654">
            <w:pPr>
              <w:rPr>
                <w:rFonts w:cs="Arial"/>
                <w:b/>
                <w:szCs w:val="20"/>
              </w:rPr>
            </w:pPr>
            <w:r w:rsidRPr="002D49BD">
              <w:rPr>
                <w:rFonts w:cs="Arial"/>
                <w:b/>
                <w:szCs w:val="20"/>
              </w:rPr>
              <w:t>8. Predstavitev sodelovanja z združenji občin:</w:t>
            </w:r>
          </w:p>
        </w:tc>
      </w:tr>
      <w:tr w:rsidR="00535B83" w:rsidRPr="002D49BD" w14:paraId="27D92553" w14:textId="77777777" w:rsidTr="00CA678E">
        <w:tc>
          <w:tcPr>
            <w:tcW w:w="6669" w:type="dxa"/>
            <w:gridSpan w:val="10"/>
          </w:tcPr>
          <w:p w14:paraId="5C51FD6A" w14:textId="77777777" w:rsidR="00535B83" w:rsidRPr="00B33A16" w:rsidRDefault="00535B83" w:rsidP="00416654">
            <w:pPr>
              <w:pStyle w:val="Neotevilenodstavek"/>
              <w:widowControl w:val="0"/>
              <w:spacing w:before="0" w:after="0" w:line="260" w:lineRule="exact"/>
              <w:rPr>
                <w:iCs/>
                <w:sz w:val="20"/>
                <w:szCs w:val="20"/>
              </w:rPr>
            </w:pPr>
            <w:r w:rsidRPr="00B33A16">
              <w:rPr>
                <w:iCs/>
                <w:sz w:val="20"/>
                <w:szCs w:val="20"/>
              </w:rPr>
              <w:t>Vsebina predloženega gradiva (predpisa) vpliva na:</w:t>
            </w:r>
          </w:p>
          <w:p w14:paraId="5073A7AB" w14:textId="77777777" w:rsidR="00535B83" w:rsidRPr="00B33A16" w:rsidRDefault="00535B83" w:rsidP="00CA678E">
            <w:pPr>
              <w:pStyle w:val="Neotevilenodstavek"/>
              <w:widowControl w:val="0"/>
              <w:numPr>
                <w:ilvl w:val="1"/>
                <w:numId w:val="11"/>
              </w:numPr>
              <w:spacing w:before="0" w:after="0" w:line="260" w:lineRule="exact"/>
              <w:rPr>
                <w:iCs/>
                <w:sz w:val="20"/>
                <w:szCs w:val="20"/>
              </w:rPr>
            </w:pPr>
            <w:r w:rsidRPr="00B33A16">
              <w:rPr>
                <w:iCs/>
                <w:sz w:val="20"/>
                <w:szCs w:val="20"/>
              </w:rPr>
              <w:t>pristojnosti občin,</w:t>
            </w:r>
          </w:p>
          <w:p w14:paraId="7FF434FE" w14:textId="77777777" w:rsidR="00535B83" w:rsidRPr="00B33A16" w:rsidRDefault="00535B83" w:rsidP="00CA678E">
            <w:pPr>
              <w:pStyle w:val="Neotevilenodstavek"/>
              <w:widowControl w:val="0"/>
              <w:numPr>
                <w:ilvl w:val="1"/>
                <w:numId w:val="11"/>
              </w:numPr>
              <w:spacing w:before="0" w:after="0" w:line="260" w:lineRule="exact"/>
              <w:rPr>
                <w:iCs/>
                <w:sz w:val="20"/>
                <w:szCs w:val="20"/>
              </w:rPr>
            </w:pPr>
            <w:r w:rsidRPr="00B33A16">
              <w:rPr>
                <w:iCs/>
                <w:sz w:val="20"/>
                <w:szCs w:val="20"/>
              </w:rPr>
              <w:t>delovanje občin,</w:t>
            </w:r>
          </w:p>
          <w:p w14:paraId="56A1E75D" w14:textId="77777777" w:rsidR="00535B83" w:rsidRPr="00B33A16" w:rsidRDefault="00535B83" w:rsidP="00CA678E">
            <w:pPr>
              <w:pStyle w:val="Neotevilenodstavek"/>
              <w:widowControl w:val="0"/>
              <w:numPr>
                <w:ilvl w:val="1"/>
                <w:numId w:val="11"/>
              </w:numPr>
              <w:spacing w:before="0" w:after="0" w:line="260" w:lineRule="exact"/>
              <w:rPr>
                <w:iCs/>
                <w:sz w:val="20"/>
                <w:szCs w:val="20"/>
              </w:rPr>
            </w:pPr>
            <w:r w:rsidRPr="00B33A16">
              <w:rPr>
                <w:iCs/>
                <w:sz w:val="20"/>
                <w:szCs w:val="20"/>
              </w:rPr>
              <w:t>financiranje občin.</w:t>
            </w:r>
          </w:p>
          <w:p w14:paraId="1C35B4A0" w14:textId="77777777" w:rsidR="00535B83" w:rsidRPr="00B33A16" w:rsidRDefault="00535B83" w:rsidP="00416654">
            <w:pPr>
              <w:pStyle w:val="Neotevilenodstavek"/>
              <w:widowControl w:val="0"/>
              <w:spacing w:before="0" w:after="0" w:line="260" w:lineRule="exact"/>
              <w:ind w:left="1440"/>
              <w:rPr>
                <w:iCs/>
                <w:sz w:val="20"/>
                <w:szCs w:val="20"/>
              </w:rPr>
            </w:pPr>
          </w:p>
        </w:tc>
        <w:tc>
          <w:tcPr>
            <w:tcW w:w="2431" w:type="dxa"/>
            <w:gridSpan w:val="4"/>
          </w:tcPr>
          <w:p w14:paraId="535F2FCC" w14:textId="77777777" w:rsidR="007D29C2" w:rsidRPr="00B33A16" w:rsidRDefault="007D29C2" w:rsidP="00416654">
            <w:pPr>
              <w:pStyle w:val="Neotevilenodstavek"/>
              <w:widowControl w:val="0"/>
              <w:spacing w:before="0" w:after="0" w:line="260" w:lineRule="exact"/>
              <w:jc w:val="center"/>
              <w:rPr>
                <w:b/>
                <w:sz w:val="20"/>
                <w:szCs w:val="20"/>
              </w:rPr>
            </w:pPr>
          </w:p>
          <w:p w14:paraId="05B97E81" w14:textId="77777777" w:rsidR="00535B83" w:rsidRPr="00B33A16" w:rsidRDefault="00535B83" w:rsidP="00416654">
            <w:pPr>
              <w:pStyle w:val="Neotevilenodstavek"/>
              <w:widowControl w:val="0"/>
              <w:spacing w:before="0" w:after="0" w:line="260" w:lineRule="exact"/>
              <w:jc w:val="center"/>
              <w:rPr>
                <w:sz w:val="20"/>
                <w:szCs w:val="20"/>
              </w:rPr>
            </w:pPr>
            <w:r w:rsidRPr="00B33A16">
              <w:rPr>
                <w:sz w:val="20"/>
                <w:szCs w:val="20"/>
              </w:rPr>
              <w:t>DA</w:t>
            </w:r>
          </w:p>
          <w:p w14:paraId="3836C2BA" w14:textId="77777777" w:rsidR="007D29C2" w:rsidRPr="00B33A16" w:rsidRDefault="007D29C2" w:rsidP="00416654">
            <w:pPr>
              <w:pStyle w:val="Neotevilenodstavek"/>
              <w:widowControl w:val="0"/>
              <w:spacing w:before="0" w:after="0" w:line="260" w:lineRule="exact"/>
              <w:jc w:val="center"/>
              <w:rPr>
                <w:sz w:val="20"/>
                <w:szCs w:val="20"/>
              </w:rPr>
            </w:pPr>
          </w:p>
        </w:tc>
      </w:tr>
      <w:tr w:rsidR="00535B83" w:rsidRPr="002D49BD" w14:paraId="2FCA849F" w14:textId="77777777" w:rsidTr="00CA678E">
        <w:trPr>
          <w:trHeight w:val="274"/>
        </w:trPr>
        <w:tc>
          <w:tcPr>
            <w:tcW w:w="9100" w:type="dxa"/>
            <w:gridSpan w:val="14"/>
          </w:tcPr>
          <w:p w14:paraId="5079AD21" w14:textId="77777777" w:rsidR="00535B83" w:rsidRPr="002D49BD" w:rsidRDefault="00535B83" w:rsidP="00416654">
            <w:pPr>
              <w:pStyle w:val="Neotevilenodstavek"/>
              <w:widowControl w:val="0"/>
              <w:spacing w:before="0" w:after="0" w:line="260" w:lineRule="exact"/>
              <w:rPr>
                <w:iCs/>
                <w:sz w:val="20"/>
                <w:szCs w:val="20"/>
              </w:rPr>
            </w:pPr>
            <w:r w:rsidRPr="002D49BD">
              <w:rPr>
                <w:iCs/>
                <w:sz w:val="20"/>
                <w:szCs w:val="20"/>
              </w:rPr>
              <w:t xml:space="preserve">Gradivo (predpis) je bilo poslano v mnenje: </w:t>
            </w:r>
          </w:p>
          <w:p w14:paraId="66F3ABDE" w14:textId="77777777" w:rsidR="00535B83" w:rsidRPr="004A6D8C" w:rsidRDefault="00535B83" w:rsidP="00CA678E">
            <w:pPr>
              <w:pStyle w:val="Neotevilenodstavek"/>
              <w:widowControl w:val="0"/>
              <w:numPr>
                <w:ilvl w:val="0"/>
                <w:numId w:val="13"/>
              </w:numPr>
              <w:spacing w:before="0" w:after="0" w:line="260" w:lineRule="exact"/>
              <w:rPr>
                <w:iCs/>
                <w:sz w:val="20"/>
                <w:szCs w:val="20"/>
              </w:rPr>
            </w:pPr>
            <w:r w:rsidRPr="004A6D8C">
              <w:rPr>
                <w:iCs/>
                <w:sz w:val="20"/>
                <w:szCs w:val="20"/>
              </w:rPr>
              <w:t xml:space="preserve">Skupnosti občin Slovenije SOS: </w:t>
            </w:r>
            <w:r w:rsidR="004A6D8C" w:rsidRPr="004A6D8C">
              <w:rPr>
                <w:iCs/>
                <w:sz w:val="20"/>
                <w:szCs w:val="20"/>
                <w:highlight w:val="yellow"/>
              </w:rPr>
              <w:t>__</w:t>
            </w:r>
          </w:p>
          <w:p w14:paraId="2D155E88" w14:textId="77777777" w:rsidR="00535B83" w:rsidRPr="004A6D8C" w:rsidRDefault="00535B83" w:rsidP="00CA678E">
            <w:pPr>
              <w:pStyle w:val="Neotevilenodstavek"/>
              <w:widowControl w:val="0"/>
              <w:numPr>
                <w:ilvl w:val="0"/>
                <w:numId w:val="13"/>
              </w:numPr>
              <w:spacing w:before="0" w:after="0" w:line="260" w:lineRule="exact"/>
              <w:rPr>
                <w:iCs/>
                <w:sz w:val="20"/>
                <w:szCs w:val="20"/>
              </w:rPr>
            </w:pPr>
            <w:r w:rsidRPr="004A6D8C">
              <w:rPr>
                <w:iCs/>
                <w:sz w:val="20"/>
                <w:szCs w:val="20"/>
              </w:rPr>
              <w:t xml:space="preserve">Združenju občin Slovenije ZOS: </w:t>
            </w:r>
            <w:r w:rsidR="004A6D8C" w:rsidRPr="004A6D8C">
              <w:rPr>
                <w:iCs/>
                <w:sz w:val="20"/>
                <w:szCs w:val="20"/>
                <w:highlight w:val="yellow"/>
              </w:rPr>
              <w:t>__</w:t>
            </w:r>
          </w:p>
          <w:p w14:paraId="27D85D0D" w14:textId="77777777" w:rsidR="00535B83" w:rsidRPr="004A6D8C" w:rsidRDefault="00535B83" w:rsidP="00CA678E">
            <w:pPr>
              <w:pStyle w:val="Neotevilenodstavek"/>
              <w:widowControl w:val="0"/>
              <w:numPr>
                <w:ilvl w:val="0"/>
                <w:numId w:val="13"/>
              </w:numPr>
              <w:spacing w:before="0" w:after="0" w:line="260" w:lineRule="exact"/>
              <w:rPr>
                <w:iCs/>
                <w:sz w:val="20"/>
                <w:szCs w:val="20"/>
              </w:rPr>
            </w:pPr>
            <w:r w:rsidRPr="004A6D8C">
              <w:rPr>
                <w:iCs/>
                <w:sz w:val="20"/>
                <w:szCs w:val="20"/>
              </w:rPr>
              <w:t xml:space="preserve">Združenju mestnih občin Slovenije ZMOS: </w:t>
            </w:r>
            <w:r w:rsidR="004A6D8C" w:rsidRPr="004A6D8C">
              <w:rPr>
                <w:iCs/>
                <w:sz w:val="20"/>
                <w:szCs w:val="20"/>
                <w:highlight w:val="yellow"/>
              </w:rPr>
              <w:t>__</w:t>
            </w:r>
          </w:p>
          <w:p w14:paraId="327686CD" w14:textId="77777777" w:rsidR="00535B83" w:rsidRPr="004A6D8C" w:rsidRDefault="00535B83" w:rsidP="00416654">
            <w:pPr>
              <w:pStyle w:val="Neotevilenodstavek"/>
              <w:widowControl w:val="0"/>
              <w:spacing w:before="0" w:after="0" w:line="260" w:lineRule="exact"/>
              <w:rPr>
                <w:iCs/>
                <w:sz w:val="20"/>
                <w:szCs w:val="20"/>
              </w:rPr>
            </w:pPr>
          </w:p>
          <w:p w14:paraId="081E4077" w14:textId="77777777" w:rsidR="00535B83" w:rsidRPr="004A6D8C" w:rsidRDefault="00535B83" w:rsidP="00416654">
            <w:pPr>
              <w:pStyle w:val="Neotevilenodstavek"/>
              <w:widowControl w:val="0"/>
              <w:spacing w:before="0" w:after="0" w:line="260" w:lineRule="exact"/>
              <w:rPr>
                <w:iCs/>
                <w:sz w:val="20"/>
                <w:szCs w:val="20"/>
              </w:rPr>
            </w:pPr>
            <w:r w:rsidRPr="004A6D8C">
              <w:rPr>
                <w:iCs/>
                <w:sz w:val="20"/>
                <w:szCs w:val="20"/>
              </w:rPr>
              <w:t>Predlogi in pripombe združenj so bili upoštevani:</w:t>
            </w:r>
          </w:p>
          <w:p w14:paraId="0B9BCE7B" w14:textId="77777777" w:rsidR="00535B83" w:rsidRPr="00FA73EA" w:rsidRDefault="00FA73EA" w:rsidP="00CA678E">
            <w:pPr>
              <w:pStyle w:val="Neotevilenodstavek"/>
              <w:widowControl w:val="0"/>
              <w:numPr>
                <w:ilvl w:val="0"/>
                <w:numId w:val="14"/>
              </w:numPr>
              <w:spacing w:before="0" w:after="0" w:line="260" w:lineRule="exact"/>
              <w:rPr>
                <w:i/>
                <w:iCs/>
                <w:sz w:val="20"/>
                <w:szCs w:val="20"/>
                <w:highlight w:val="yellow"/>
              </w:rPr>
            </w:pPr>
            <w:r w:rsidRPr="00FA73EA">
              <w:rPr>
                <w:i/>
                <w:iCs/>
                <w:sz w:val="20"/>
                <w:szCs w:val="20"/>
                <w:highlight w:val="yellow"/>
              </w:rPr>
              <w:t>delno/večinoma/v celoti</w:t>
            </w:r>
          </w:p>
          <w:p w14:paraId="734CEF77" w14:textId="77777777" w:rsidR="00F86730" w:rsidRPr="00992643" w:rsidRDefault="00F86730" w:rsidP="00F86730">
            <w:pPr>
              <w:pStyle w:val="Neotevilenodstavek"/>
              <w:widowControl w:val="0"/>
              <w:spacing w:before="0" w:after="0" w:line="260" w:lineRule="exact"/>
              <w:rPr>
                <w:iCs/>
                <w:sz w:val="20"/>
                <w:szCs w:val="20"/>
                <w:highlight w:val="yellow"/>
              </w:rPr>
            </w:pPr>
          </w:p>
          <w:p w14:paraId="698B9D91" w14:textId="77777777" w:rsidR="00535B83" w:rsidRPr="00FA73EA" w:rsidRDefault="00FA73EA" w:rsidP="00416654">
            <w:pPr>
              <w:pStyle w:val="Neotevilenodstavek"/>
              <w:widowControl w:val="0"/>
              <w:spacing w:before="0" w:after="0" w:line="260" w:lineRule="exact"/>
              <w:rPr>
                <w:i/>
                <w:iCs/>
                <w:sz w:val="20"/>
                <w:szCs w:val="20"/>
              </w:rPr>
            </w:pPr>
            <w:r w:rsidRPr="00FA73EA">
              <w:rPr>
                <w:i/>
                <w:iCs/>
                <w:sz w:val="20"/>
                <w:szCs w:val="20"/>
                <w:highlight w:val="yellow"/>
              </w:rPr>
              <w:t>Opis vsebine usklajevanja z občinami</w:t>
            </w:r>
          </w:p>
          <w:p w14:paraId="2C28AEE6" w14:textId="77777777" w:rsidR="00535B83" w:rsidRPr="002D49BD" w:rsidRDefault="00535B83" w:rsidP="00AE05D3">
            <w:pPr>
              <w:pStyle w:val="Neotevilenodstavek"/>
              <w:widowControl w:val="0"/>
              <w:spacing w:before="0" w:after="0" w:line="260" w:lineRule="exact"/>
              <w:rPr>
                <w:iCs/>
                <w:sz w:val="20"/>
                <w:szCs w:val="20"/>
              </w:rPr>
            </w:pPr>
          </w:p>
        </w:tc>
      </w:tr>
      <w:tr w:rsidR="00535B83" w:rsidRPr="002D49BD" w14:paraId="6EFC1E38" w14:textId="77777777" w:rsidTr="00CA678E">
        <w:tc>
          <w:tcPr>
            <w:tcW w:w="9100" w:type="dxa"/>
            <w:gridSpan w:val="14"/>
            <w:vAlign w:val="center"/>
          </w:tcPr>
          <w:p w14:paraId="074EA427" w14:textId="77777777" w:rsidR="00535B83" w:rsidRPr="002D49BD" w:rsidRDefault="00535B83" w:rsidP="00416654">
            <w:pPr>
              <w:pStyle w:val="Neotevilenodstavek"/>
              <w:widowControl w:val="0"/>
              <w:spacing w:before="0" w:after="0" w:line="260" w:lineRule="exact"/>
              <w:jc w:val="left"/>
              <w:rPr>
                <w:b/>
                <w:sz w:val="20"/>
                <w:szCs w:val="20"/>
              </w:rPr>
            </w:pPr>
            <w:r w:rsidRPr="002D49BD">
              <w:rPr>
                <w:b/>
                <w:sz w:val="20"/>
                <w:szCs w:val="20"/>
              </w:rPr>
              <w:t>9. Predstavitev sodelovanja javnosti:</w:t>
            </w:r>
          </w:p>
        </w:tc>
      </w:tr>
      <w:tr w:rsidR="00535B83" w:rsidRPr="002D49BD" w14:paraId="0C2AADD8" w14:textId="77777777" w:rsidTr="00CA678E">
        <w:tc>
          <w:tcPr>
            <w:tcW w:w="6669" w:type="dxa"/>
            <w:gridSpan w:val="10"/>
          </w:tcPr>
          <w:p w14:paraId="59203112" w14:textId="77777777" w:rsidR="00535B83" w:rsidRPr="002D49BD" w:rsidRDefault="00535B83" w:rsidP="00416654">
            <w:pPr>
              <w:pStyle w:val="Neotevilenodstavek"/>
              <w:widowControl w:val="0"/>
              <w:spacing w:before="0" w:after="0" w:line="260" w:lineRule="exact"/>
              <w:rPr>
                <w:sz w:val="20"/>
                <w:szCs w:val="20"/>
              </w:rPr>
            </w:pPr>
            <w:r w:rsidRPr="002D49BD">
              <w:rPr>
                <w:iCs/>
                <w:sz w:val="20"/>
                <w:szCs w:val="20"/>
              </w:rPr>
              <w:t>Gradivo je bilo predhodno objavljeno na spletni strani predlagatelja:</w:t>
            </w:r>
          </w:p>
        </w:tc>
        <w:tc>
          <w:tcPr>
            <w:tcW w:w="2431" w:type="dxa"/>
            <w:gridSpan w:val="4"/>
          </w:tcPr>
          <w:p w14:paraId="43075A94" w14:textId="77777777" w:rsidR="00535B83" w:rsidRPr="002D49BD" w:rsidRDefault="00535B83" w:rsidP="007D29C2">
            <w:pPr>
              <w:pStyle w:val="Neotevilenodstavek"/>
              <w:widowControl w:val="0"/>
              <w:spacing w:before="0" w:after="0" w:line="260" w:lineRule="exact"/>
              <w:jc w:val="center"/>
              <w:rPr>
                <w:iCs/>
                <w:sz w:val="20"/>
                <w:szCs w:val="20"/>
              </w:rPr>
            </w:pPr>
            <w:r w:rsidRPr="005D1F04">
              <w:rPr>
                <w:sz w:val="20"/>
                <w:szCs w:val="20"/>
              </w:rPr>
              <w:t>DA</w:t>
            </w:r>
          </w:p>
        </w:tc>
      </w:tr>
      <w:tr w:rsidR="00535B83" w:rsidRPr="002D49BD" w14:paraId="4EDDC5BD" w14:textId="77777777" w:rsidTr="00CA678E">
        <w:tc>
          <w:tcPr>
            <w:tcW w:w="9100" w:type="dxa"/>
            <w:gridSpan w:val="14"/>
          </w:tcPr>
          <w:p w14:paraId="5C5BF548" w14:textId="77777777" w:rsidR="00535B83" w:rsidRPr="002D49BD" w:rsidRDefault="00535B83" w:rsidP="00416654">
            <w:pPr>
              <w:pStyle w:val="Neotevilenodstavek"/>
              <w:widowControl w:val="0"/>
              <w:spacing w:before="0" w:after="0" w:line="260" w:lineRule="exact"/>
              <w:rPr>
                <w:iCs/>
                <w:sz w:val="20"/>
                <w:szCs w:val="20"/>
              </w:rPr>
            </w:pPr>
            <w:r w:rsidRPr="002D49BD">
              <w:rPr>
                <w:iCs/>
                <w:sz w:val="20"/>
                <w:szCs w:val="20"/>
              </w:rPr>
              <w:t>(Če je odgovor NE, navedite, zakaj ni bilo objavljeno.)</w:t>
            </w:r>
          </w:p>
        </w:tc>
      </w:tr>
      <w:tr w:rsidR="00535B83" w:rsidRPr="002D49BD" w14:paraId="0C11289D" w14:textId="77777777" w:rsidTr="00CA678E">
        <w:tc>
          <w:tcPr>
            <w:tcW w:w="9100" w:type="dxa"/>
            <w:gridSpan w:val="14"/>
          </w:tcPr>
          <w:p w14:paraId="2CF7C3CB" w14:textId="77777777" w:rsidR="00535B83" w:rsidRPr="00992643" w:rsidRDefault="00535B83" w:rsidP="00416654">
            <w:pPr>
              <w:pStyle w:val="Neotevilenodstavek"/>
              <w:widowControl w:val="0"/>
              <w:spacing w:before="0" w:after="0" w:line="260" w:lineRule="exact"/>
              <w:rPr>
                <w:iCs/>
                <w:sz w:val="20"/>
                <w:szCs w:val="20"/>
                <w:highlight w:val="yellow"/>
              </w:rPr>
            </w:pPr>
            <w:r w:rsidRPr="005D1F04">
              <w:rPr>
                <w:iCs/>
                <w:sz w:val="20"/>
                <w:szCs w:val="20"/>
              </w:rPr>
              <w:t>(Če je odgovor DA, navedite:</w:t>
            </w:r>
          </w:p>
          <w:p w14:paraId="381F1E4F" w14:textId="77777777" w:rsidR="00AE05D3" w:rsidRPr="004A6D8C" w:rsidRDefault="00535B83" w:rsidP="0044361D">
            <w:pPr>
              <w:pStyle w:val="Neotevilenodstavek"/>
              <w:widowControl w:val="0"/>
              <w:spacing w:before="0" w:after="0" w:line="260" w:lineRule="exact"/>
              <w:rPr>
                <w:iCs/>
                <w:sz w:val="20"/>
                <w:szCs w:val="20"/>
              </w:rPr>
            </w:pPr>
            <w:r w:rsidRPr="004A6D8C">
              <w:rPr>
                <w:iCs/>
                <w:sz w:val="20"/>
                <w:szCs w:val="20"/>
              </w:rPr>
              <w:t xml:space="preserve">Datum objave: </w:t>
            </w:r>
            <w:r w:rsidR="005D1F04" w:rsidRPr="004A6D8C">
              <w:rPr>
                <w:iCs/>
                <w:sz w:val="20"/>
                <w:szCs w:val="20"/>
                <w:highlight w:val="yellow"/>
              </w:rPr>
              <w:t>XX.XX. 2021</w:t>
            </w:r>
            <w:r w:rsidR="00AE05D3" w:rsidRPr="004A6D8C">
              <w:rPr>
                <w:iCs/>
                <w:sz w:val="20"/>
                <w:szCs w:val="20"/>
              </w:rPr>
              <w:t xml:space="preserve">. </w:t>
            </w:r>
            <w:r w:rsidR="005D1F04" w:rsidRPr="004A6D8C">
              <w:rPr>
                <w:iCs/>
                <w:sz w:val="20"/>
                <w:szCs w:val="20"/>
              </w:rPr>
              <w:t>Javna razprava</w:t>
            </w:r>
            <w:r w:rsidR="00AE05D3" w:rsidRPr="004A6D8C">
              <w:rPr>
                <w:iCs/>
                <w:sz w:val="20"/>
                <w:szCs w:val="20"/>
              </w:rPr>
              <w:t xml:space="preserve"> je trajala </w:t>
            </w:r>
            <w:r w:rsidR="004A6D8C" w:rsidRPr="004A6D8C">
              <w:rPr>
                <w:iCs/>
                <w:sz w:val="20"/>
                <w:szCs w:val="20"/>
                <w:highlight w:val="yellow"/>
              </w:rPr>
              <w:t>__</w:t>
            </w:r>
            <w:r w:rsidR="00AE05D3" w:rsidRPr="004A6D8C">
              <w:rPr>
                <w:iCs/>
                <w:sz w:val="20"/>
                <w:szCs w:val="20"/>
              </w:rPr>
              <w:t xml:space="preserve"> dni.</w:t>
            </w:r>
          </w:p>
          <w:p w14:paraId="1CDA9531" w14:textId="77777777" w:rsidR="005D1F04" w:rsidRPr="00992643" w:rsidRDefault="005D1F04" w:rsidP="0044361D">
            <w:pPr>
              <w:pStyle w:val="Neotevilenodstavek"/>
              <w:widowControl w:val="0"/>
              <w:spacing w:before="0" w:after="0" w:line="260" w:lineRule="exact"/>
              <w:rPr>
                <w:iCs/>
                <w:sz w:val="20"/>
                <w:szCs w:val="20"/>
                <w:highlight w:val="yellow"/>
              </w:rPr>
            </w:pPr>
          </w:p>
          <w:p w14:paraId="089A4023" w14:textId="77777777" w:rsidR="00AE05D3" w:rsidRPr="004A6D8C" w:rsidRDefault="0044361D" w:rsidP="0044361D">
            <w:pPr>
              <w:pStyle w:val="Neotevilenodstavek"/>
              <w:widowControl w:val="0"/>
              <w:spacing w:before="0" w:after="0" w:line="260" w:lineRule="exact"/>
              <w:contextualSpacing/>
              <w:rPr>
                <w:iCs/>
                <w:sz w:val="20"/>
                <w:szCs w:val="20"/>
              </w:rPr>
            </w:pPr>
            <w:r w:rsidRPr="004A6D8C">
              <w:rPr>
                <w:iCs/>
                <w:sz w:val="20"/>
                <w:szCs w:val="20"/>
              </w:rPr>
              <w:t>V času javne razprave so p</w:t>
            </w:r>
            <w:r w:rsidR="00AE05D3" w:rsidRPr="004A6D8C">
              <w:rPr>
                <w:iCs/>
                <w:sz w:val="20"/>
                <w:szCs w:val="20"/>
              </w:rPr>
              <w:t>ripombe dali:</w:t>
            </w:r>
          </w:p>
          <w:p w14:paraId="209B2F32" w14:textId="77777777" w:rsidR="00AE05D3" w:rsidRPr="005D1F04" w:rsidRDefault="005D1F04" w:rsidP="005D1F04">
            <w:pPr>
              <w:pStyle w:val="Neotevilenodstavek"/>
              <w:widowControl w:val="0"/>
              <w:numPr>
                <w:ilvl w:val="0"/>
                <w:numId w:val="14"/>
              </w:numPr>
              <w:spacing w:before="0" w:after="0" w:line="260" w:lineRule="exact"/>
              <w:contextualSpacing/>
              <w:rPr>
                <w:i/>
                <w:iCs/>
                <w:sz w:val="20"/>
                <w:szCs w:val="20"/>
                <w:highlight w:val="yellow"/>
              </w:rPr>
            </w:pPr>
            <w:r w:rsidRPr="005D1F04">
              <w:rPr>
                <w:i/>
                <w:iCs/>
                <w:sz w:val="20"/>
                <w:szCs w:val="20"/>
                <w:highlight w:val="yellow"/>
              </w:rPr>
              <w:t>navedba ministrstev in pravnih oseb</w:t>
            </w:r>
          </w:p>
          <w:p w14:paraId="7C6E58A4" w14:textId="77777777" w:rsidR="00535B83" w:rsidRPr="00992643" w:rsidRDefault="00535B83" w:rsidP="0044361D">
            <w:pPr>
              <w:pStyle w:val="Neotevilenodstavek"/>
              <w:widowControl w:val="0"/>
              <w:spacing w:before="0" w:after="0" w:line="260" w:lineRule="exact"/>
              <w:contextualSpacing/>
              <w:rPr>
                <w:iCs/>
                <w:sz w:val="20"/>
                <w:szCs w:val="20"/>
                <w:highlight w:val="yellow"/>
              </w:rPr>
            </w:pPr>
          </w:p>
          <w:p w14:paraId="304B96B9" w14:textId="77777777" w:rsidR="00535B83" w:rsidRPr="004A6D8C" w:rsidRDefault="00535B83" w:rsidP="0044361D">
            <w:pPr>
              <w:pStyle w:val="Neotevilenodstavek"/>
              <w:widowControl w:val="0"/>
              <w:spacing w:before="0" w:after="0" w:line="260" w:lineRule="exact"/>
              <w:contextualSpacing/>
              <w:rPr>
                <w:iCs/>
                <w:sz w:val="20"/>
                <w:szCs w:val="20"/>
              </w:rPr>
            </w:pPr>
            <w:r w:rsidRPr="004A6D8C">
              <w:rPr>
                <w:iCs/>
                <w:sz w:val="20"/>
                <w:szCs w:val="20"/>
              </w:rPr>
              <w:t>Upoštevan</w:t>
            </w:r>
            <w:r w:rsidR="0044361D" w:rsidRPr="004A6D8C">
              <w:rPr>
                <w:iCs/>
                <w:sz w:val="20"/>
                <w:szCs w:val="20"/>
              </w:rPr>
              <w:t>e</w:t>
            </w:r>
            <w:r w:rsidRPr="004A6D8C">
              <w:rPr>
                <w:iCs/>
                <w:sz w:val="20"/>
                <w:szCs w:val="20"/>
              </w:rPr>
              <w:t xml:space="preserve"> so bil</w:t>
            </w:r>
            <w:r w:rsidR="0044361D" w:rsidRPr="004A6D8C">
              <w:rPr>
                <w:iCs/>
                <w:sz w:val="20"/>
                <w:szCs w:val="20"/>
              </w:rPr>
              <w:t>e</w:t>
            </w:r>
            <w:r w:rsidRPr="004A6D8C">
              <w:rPr>
                <w:iCs/>
                <w:sz w:val="20"/>
                <w:szCs w:val="20"/>
              </w:rPr>
              <w:t>:</w:t>
            </w:r>
          </w:p>
          <w:p w14:paraId="5EE1F685" w14:textId="77777777" w:rsidR="00535B83" w:rsidRPr="005D1F04" w:rsidRDefault="00AE05D3" w:rsidP="0044361D">
            <w:pPr>
              <w:pStyle w:val="Neotevilenodstavek"/>
              <w:widowControl w:val="0"/>
              <w:numPr>
                <w:ilvl w:val="0"/>
                <w:numId w:val="14"/>
              </w:numPr>
              <w:spacing w:before="0" w:after="0" w:line="260" w:lineRule="exact"/>
              <w:contextualSpacing/>
              <w:rPr>
                <w:i/>
                <w:iCs/>
                <w:sz w:val="20"/>
                <w:szCs w:val="20"/>
                <w:highlight w:val="yellow"/>
              </w:rPr>
            </w:pPr>
            <w:r w:rsidRPr="005D1F04">
              <w:rPr>
                <w:i/>
                <w:iCs/>
                <w:sz w:val="20"/>
                <w:szCs w:val="20"/>
                <w:highlight w:val="yellow"/>
              </w:rPr>
              <w:t>delno</w:t>
            </w:r>
            <w:r w:rsidR="005D1F04" w:rsidRPr="005D1F04">
              <w:rPr>
                <w:i/>
                <w:iCs/>
                <w:sz w:val="20"/>
                <w:szCs w:val="20"/>
                <w:highlight w:val="yellow"/>
              </w:rPr>
              <w:t xml:space="preserve"> / večinoma / v celoti</w:t>
            </w:r>
            <w:r w:rsidRPr="005D1F04">
              <w:rPr>
                <w:i/>
                <w:iCs/>
                <w:sz w:val="20"/>
                <w:szCs w:val="20"/>
                <w:highlight w:val="yellow"/>
              </w:rPr>
              <w:t>.</w:t>
            </w:r>
          </w:p>
          <w:p w14:paraId="1DBB38D1" w14:textId="77777777" w:rsidR="00AE05D3" w:rsidRPr="00992643" w:rsidRDefault="00AE05D3" w:rsidP="0044361D">
            <w:pPr>
              <w:pStyle w:val="Neotevilenodstavek"/>
              <w:widowControl w:val="0"/>
              <w:spacing w:before="0" w:after="0" w:line="260" w:lineRule="exact"/>
              <w:contextualSpacing/>
              <w:rPr>
                <w:iCs/>
                <w:sz w:val="20"/>
                <w:szCs w:val="20"/>
                <w:highlight w:val="yellow"/>
              </w:rPr>
            </w:pPr>
          </w:p>
          <w:p w14:paraId="327F5E01" w14:textId="77777777" w:rsidR="00817A4F" w:rsidRPr="004A6D8C" w:rsidRDefault="00817A4F" w:rsidP="0044361D">
            <w:pPr>
              <w:pStyle w:val="Neotevilenodstavek"/>
              <w:widowControl w:val="0"/>
              <w:spacing w:before="0" w:after="0" w:line="260" w:lineRule="exact"/>
              <w:contextualSpacing/>
              <w:rPr>
                <w:iCs/>
                <w:sz w:val="20"/>
                <w:szCs w:val="20"/>
              </w:rPr>
            </w:pPr>
            <w:r w:rsidRPr="004A6D8C">
              <w:rPr>
                <w:iCs/>
                <w:sz w:val="20"/>
                <w:szCs w:val="20"/>
              </w:rPr>
              <w:t>Gradivo je usklajeno z:</w:t>
            </w:r>
          </w:p>
          <w:p w14:paraId="5B46090E" w14:textId="77777777" w:rsidR="0089171A" w:rsidRPr="005D1F04" w:rsidRDefault="005D1F04" w:rsidP="005D1F04">
            <w:pPr>
              <w:pStyle w:val="Neotevilenodstavek"/>
              <w:widowControl w:val="0"/>
              <w:numPr>
                <w:ilvl w:val="0"/>
                <w:numId w:val="14"/>
              </w:numPr>
              <w:spacing w:before="0" w:after="0" w:line="260" w:lineRule="exact"/>
              <w:contextualSpacing/>
              <w:rPr>
                <w:i/>
                <w:iCs/>
                <w:sz w:val="20"/>
                <w:szCs w:val="20"/>
                <w:highlight w:val="yellow"/>
              </w:rPr>
            </w:pPr>
            <w:r w:rsidRPr="005D1F04">
              <w:rPr>
                <w:i/>
                <w:iCs/>
                <w:sz w:val="20"/>
                <w:szCs w:val="20"/>
                <w:highlight w:val="yellow"/>
              </w:rPr>
              <w:t>navedba ministrstev</w:t>
            </w:r>
          </w:p>
          <w:p w14:paraId="28D63CDF" w14:textId="77777777" w:rsidR="005B67DD" w:rsidRPr="00992643" w:rsidRDefault="005B67DD" w:rsidP="00AE05D3">
            <w:pPr>
              <w:pStyle w:val="Neotevilenodstavek"/>
              <w:widowControl w:val="0"/>
              <w:spacing w:before="0" w:after="0" w:line="260" w:lineRule="exact"/>
              <w:rPr>
                <w:iCs/>
                <w:sz w:val="20"/>
                <w:szCs w:val="20"/>
                <w:highlight w:val="yellow"/>
              </w:rPr>
            </w:pPr>
          </w:p>
          <w:p w14:paraId="3DEA083C" w14:textId="77777777" w:rsidR="00535B83" w:rsidRPr="004A6D8C" w:rsidRDefault="00535B83" w:rsidP="00416654">
            <w:pPr>
              <w:pStyle w:val="Neotevilenodstavek"/>
              <w:widowControl w:val="0"/>
              <w:spacing w:before="0" w:after="0" w:line="260" w:lineRule="exact"/>
              <w:rPr>
                <w:iCs/>
                <w:sz w:val="20"/>
                <w:szCs w:val="20"/>
              </w:rPr>
            </w:pPr>
            <w:r w:rsidRPr="004A6D8C">
              <w:rPr>
                <w:iCs/>
                <w:sz w:val="20"/>
                <w:szCs w:val="20"/>
              </w:rPr>
              <w:t>Bistvena mnenja, predlogi in pripombe, ki niso bili upoštevani, ter razlogi za neupoštevanje:</w:t>
            </w:r>
          </w:p>
          <w:p w14:paraId="564ABBBD" w14:textId="77777777" w:rsidR="005D1F04" w:rsidRPr="002D49BD" w:rsidRDefault="005D1F04" w:rsidP="00402A67">
            <w:pPr>
              <w:pStyle w:val="Neotevilenodstavek"/>
              <w:widowControl w:val="0"/>
              <w:spacing w:before="0" w:after="0" w:line="260" w:lineRule="exact"/>
              <w:jc w:val="left"/>
              <w:rPr>
                <w:iCs/>
                <w:sz w:val="20"/>
                <w:szCs w:val="20"/>
              </w:rPr>
            </w:pPr>
          </w:p>
        </w:tc>
      </w:tr>
      <w:tr w:rsidR="00535B83" w:rsidRPr="002D49BD" w14:paraId="5BA99895" w14:textId="77777777" w:rsidTr="00CA678E">
        <w:tc>
          <w:tcPr>
            <w:tcW w:w="6669" w:type="dxa"/>
            <w:gridSpan w:val="10"/>
            <w:vAlign w:val="center"/>
          </w:tcPr>
          <w:p w14:paraId="094FD88B" w14:textId="77777777" w:rsidR="00535B83" w:rsidRPr="002D49BD" w:rsidRDefault="00535B83" w:rsidP="00416654">
            <w:pPr>
              <w:pStyle w:val="Neotevilenodstavek"/>
              <w:widowControl w:val="0"/>
              <w:spacing w:before="0" w:after="0" w:line="260" w:lineRule="exact"/>
              <w:jc w:val="left"/>
              <w:rPr>
                <w:sz w:val="20"/>
                <w:szCs w:val="20"/>
              </w:rPr>
            </w:pPr>
            <w:r w:rsidRPr="002D49BD">
              <w:rPr>
                <w:b/>
                <w:sz w:val="20"/>
                <w:szCs w:val="20"/>
              </w:rPr>
              <w:t>10. Pri pripravi gradiva so bile upoštevane zahteve iz Resolucije o normativni dejavnosti:</w:t>
            </w:r>
          </w:p>
        </w:tc>
        <w:tc>
          <w:tcPr>
            <w:tcW w:w="2431" w:type="dxa"/>
            <w:gridSpan w:val="4"/>
            <w:vAlign w:val="center"/>
          </w:tcPr>
          <w:p w14:paraId="5733073D" w14:textId="77777777" w:rsidR="00535B83" w:rsidRPr="00992643" w:rsidRDefault="00535B83" w:rsidP="00C5329F">
            <w:pPr>
              <w:pStyle w:val="Neotevilenodstavek"/>
              <w:widowControl w:val="0"/>
              <w:spacing w:before="0" w:after="0" w:line="260" w:lineRule="exact"/>
              <w:jc w:val="center"/>
              <w:rPr>
                <w:iCs/>
                <w:sz w:val="20"/>
                <w:szCs w:val="20"/>
                <w:highlight w:val="yellow"/>
              </w:rPr>
            </w:pPr>
            <w:r w:rsidRPr="00C5329F">
              <w:rPr>
                <w:sz w:val="20"/>
                <w:szCs w:val="20"/>
              </w:rPr>
              <w:t>DA</w:t>
            </w:r>
          </w:p>
        </w:tc>
      </w:tr>
      <w:tr w:rsidR="00535B83" w:rsidRPr="002D49BD" w14:paraId="2C8612C7" w14:textId="77777777" w:rsidTr="00CA678E">
        <w:tc>
          <w:tcPr>
            <w:tcW w:w="6669" w:type="dxa"/>
            <w:gridSpan w:val="10"/>
            <w:vAlign w:val="center"/>
          </w:tcPr>
          <w:p w14:paraId="144F7BC6" w14:textId="77777777" w:rsidR="00535B83" w:rsidRPr="002D49BD" w:rsidRDefault="00535B83" w:rsidP="00416654">
            <w:pPr>
              <w:pStyle w:val="Neotevilenodstavek"/>
              <w:widowControl w:val="0"/>
              <w:spacing w:before="0" w:after="0" w:line="260" w:lineRule="exact"/>
              <w:jc w:val="left"/>
              <w:rPr>
                <w:b/>
                <w:sz w:val="20"/>
                <w:szCs w:val="20"/>
              </w:rPr>
            </w:pPr>
            <w:r w:rsidRPr="002D49BD">
              <w:rPr>
                <w:b/>
                <w:sz w:val="20"/>
                <w:szCs w:val="20"/>
              </w:rPr>
              <w:t>11. Gradivo je uvrščeno v delovni program vlade:</w:t>
            </w:r>
          </w:p>
        </w:tc>
        <w:tc>
          <w:tcPr>
            <w:tcW w:w="2431" w:type="dxa"/>
            <w:gridSpan w:val="4"/>
            <w:vAlign w:val="center"/>
          </w:tcPr>
          <w:p w14:paraId="484C2722" w14:textId="77777777" w:rsidR="00535B83" w:rsidRPr="00992643" w:rsidRDefault="004A6D8C" w:rsidP="007D29C2">
            <w:pPr>
              <w:pStyle w:val="Neotevilenodstavek"/>
              <w:widowControl w:val="0"/>
              <w:spacing w:before="0" w:after="0" w:line="260" w:lineRule="exact"/>
              <w:jc w:val="center"/>
              <w:rPr>
                <w:sz w:val="20"/>
                <w:szCs w:val="20"/>
                <w:highlight w:val="yellow"/>
              </w:rPr>
            </w:pPr>
            <w:r w:rsidRPr="004A6D8C">
              <w:rPr>
                <w:sz w:val="20"/>
                <w:szCs w:val="20"/>
              </w:rPr>
              <w:t>NE</w:t>
            </w:r>
          </w:p>
        </w:tc>
      </w:tr>
      <w:tr w:rsidR="00535B83" w:rsidRPr="002D49BD" w14:paraId="0BBCA360" w14:textId="77777777" w:rsidTr="00CA678E">
        <w:tc>
          <w:tcPr>
            <w:tcW w:w="9100" w:type="dxa"/>
            <w:gridSpan w:val="14"/>
            <w:tcBorders>
              <w:top w:val="single" w:sz="4" w:space="0" w:color="000000"/>
              <w:left w:val="single" w:sz="4" w:space="0" w:color="000000"/>
              <w:bottom w:val="single" w:sz="4" w:space="0" w:color="000000"/>
              <w:right w:val="single" w:sz="4" w:space="0" w:color="000000"/>
            </w:tcBorders>
          </w:tcPr>
          <w:p w14:paraId="2E8B2473" w14:textId="77777777" w:rsidR="00535B83" w:rsidRPr="002D49BD" w:rsidRDefault="00535B83" w:rsidP="00416654">
            <w:pPr>
              <w:pStyle w:val="Poglavje"/>
              <w:widowControl w:val="0"/>
              <w:spacing w:before="0" w:after="0" w:line="260" w:lineRule="exact"/>
              <w:ind w:left="3400"/>
              <w:jc w:val="left"/>
              <w:rPr>
                <w:sz w:val="20"/>
                <w:szCs w:val="20"/>
              </w:rPr>
            </w:pPr>
          </w:p>
          <w:p w14:paraId="2B02268C" w14:textId="77777777" w:rsidR="00992643" w:rsidRPr="002F24C7" w:rsidRDefault="00535B83" w:rsidP="00992643">
            <w:pPr>
              <w:pStyle w:val="Neotevilenodstavek"/>
              <w:widowControl w:val="0"/>
              <w:spacing w:before="0" w:after="0" w:line="276" w:lineRule="auto"/>
              <w:rPr>
                <w:b/>
                <w:sz w:val="20"/>
                <w:szCs w:val="20"/>
              </w:rPr>
            </w:pPr>
            <w:r w:rsidRPr="002D49BD">
              <w:rPr>
                <w:sz w:val="20"/>
                <w:szCs w:val="20"/>
              </w:rPr>
              <w:t xml:space="preserve">                       </w:t>
            </w:r>
            <w:r w:rsidR="00992643">
              <w:rPr>
                <w:sz w:val="20"/>
                <w:szCs w:val="20"/>
              </w:rPr>
              <w:t xml:space="preserve">              </w:t>
            </w:r>
            <w:r w:rsidR="00992643" w:rsidRPr="002F24C7">
              <w:rPr>
                <w:b/>
                <w:sz w:val="20"/>
                <w:szCs w:val="20"/>
              </w:rPr>
              <w:t xml:space="preserve">                                                                  </w:t>
            </w:r>
            <w:r w:rsidR="00992643">
              <w:rPr>
                <w:b/>
                <w:sz w:val="20"/>
                <w:szCs w:val="20"/>
              </w:rPr>
              <w:t>M</w:t>
            </w:r>
            <w:r w:rsidR="00992643" w:rsidRPr="002F24C7">
              <w:rPr>
                <w:b/>
                <w:sz w:val="20"/>
                <w:szCs w:val="20"/>
              </w:rPr>
              <w:t>ag. Andrej Vizjak</w:t>
            </w:r>
          </w:p>
          <w:p w14:paraId="0C8D8960" w14:textId="77777777" w:rsidR="00992643" w:rsidRPr="002F24C7" w:rsidRDefault="00992643" w:rsidP="00992643">
            <w:pPr>
              <w:pStyle w:val="Neotevilenodstavek"/>
              <w:widowControl w:val="0"/>
              <w:spacing w:before="0" w:after="0" w:line="276" w:lineRule="auto"/>
              <w:rPr>
                <w:b/>
                <w:sz w:val="20"/>
                <w:szCs w:val="20"/>
              </w:rPr>
            </w:pPr>
            <w:r w:rsidRPr="002F24C7">
              <w:rPr>
                <w:b/>
                <w:sz w:val="20"/>
                <w:szCs w:val="20"/>
              </w:rPr>
              <w:t xml:space="preserve">                                                                                  </w:t>
            </w:r>
            <w:r>
              <w:rPr>
                <w:b/>
                <w:sz w:val="20"/>
                <w:szCs w:val="20"/>
              </w:rPr>
              <w:t xml:space="preserve">       </w:t>
            </w:r>
            <w:r w:rsidRPr="002F24C7">
              <w:rPr>
                <w:b/>
                <w:sz w:val="20"/>
                <w:szCs w:val="20"/>
              </w:rPr>
              <w:t xml:space="preserve">                     MINISTER</w:t>
            </w:r>
          </w:p>
          <w:p w14:paraId="2CDBEA6A" w14:textId="77777777" w:rsidR="00535B83" w:rsidRPr="002D49BD" w:rsidRDefault="00535B83" w:rsidP="00992643">
            <w:pPr>
              <w:pStyle w:val="Poglavje"/>
              <w:widowControl w:val="0"/>
              <w:spacing w:before="0" w:after="0" w:line="260" w:lineRule="exact"/>
              <w:jc w:val="left"/>
              <w:rPr>
                <w:sz w:val="20"/>
                <w:szCs w:val="20"/>
              </w:rPr>
            </w:pPr>
          </w:p>
        </w:tc>
      </w:tr>
    </w:tbl>
    <w:p w14:paraId="5ED45C8F" w14:textId="77777777" w:rsidR="00CA678E" w:rsidRPr="002D49BD" w:rsidRDefault="00CA678E" w:rsidP="00976551">
      <w:pPr>
        <w:pStyle w:val="Telobesedila2"/>
        <w:ind w:left="4956" w:firstLine="708"/>
        <w:rPr>
          <w:rFonts w:ascii="Arial" w:hAnsi="Arial"/>
          <w:b w:val="0"/>
          <w:sz w:val="20"/>
        </w:rPr>
      </w:pPr>
    </w:p>
    <w:p w14:paraId="13EFCD1E" w14:textId="77777777" w:rsidR="00F1194A" w:rsidRDefault="00F1194A" w:rsidP="0082668D">
      <w:pPr>
        <w:pStyle w:val="Telobesedila2"/>
        <w:rPr>
          <w:rFonts w:ascii="Arial" w:hAnsi="Arial"/>
          <w:b w:val="0"/>
          <w:sz w:val="20"/>
        </w:rPr>
      </w:pPr>
    </w:p>
    <w:p w14:paraId="719CB257" w14:textId="77777777" w:rsidR="00F1194A" w:rsidRDefault="0082668D" w:rsidP="0082668D">
      <w:pPr>
        <w:pStyle w:val="Telobesedila2"/>
        <w:rPr>
          <w:rFonts w:ascii="Arial" w:hAnsi="Arial"/>
          <w:b w:val="0"/>
          <w:sz w:val="20"/>
        </w:rPr>
      </w:pPr>
      <w:r w:rsidRPr="00FB6BF2">
        <w:rPr>
          <w:rFonts w:ascii="Arial" w:hAnsi="Arial"/>
          <w:b w:val="0"/>
          <w:sz w:val="20"/>
        </w:rPr>
        <w:t>PRILOG</w:t>
      </w:r>
      <w:r w:rsidR="00C20A9C">
        <w:rPr>
          <w:rFonts w:ascii="Arial" w:hAnsi="Arial"/>
          <w:b w:val="0"/>
          <w:sz w:val="20"/>
        </w:rPr>
        <w:t>E</w:t>
      </w:r>
      <w:r w:rsidRPr="00FB6BF2">
        <w:rPr>
          <w:rFonts w:ascii="Arial" w:hAnsi="Arial"/>
          <w:b w:val="0"/>
          <w:sz w:val="20"/>
        </w:rPr>
        <w:t xml:space="preserve">: </w:t>
      </w:r>
    </w:p>
    <w:p w14:paraId="2372A786" w14:textId="77777777" w:rsidR="00F1194A" w:rsidRDefault="00F1194A" w:rsidP="00CA56A4">
      <w:pPr>
        <w:spacing w:after="120" w:line="240" w:lineRule="auto"/>
        <w:rPr>
          <w:rFonts w:cs="Arial"/>
          <w:szCs w:val="20"/>
        </w:rPr>
      </w:pPr>
    </w:p>
    <w:p w14:paraId="00917329" w14:textId="77777777" w:rsidR="00F1194A" w:rsidRDefault="00F1194A" w:rsidP="00F1194A">
      <w:pPr>
        <w:pStyle w:val="Odstavekseznama"/>
        <w:numPr>
          <w:ilvl w:val="0"/>
          <w:numId w:val="11"/>
        </w:numPr>
        <w:spacing w:after="120" w:line="240" w:lineRule="auto"/>
        <w:ind w:left="357" w:hanging="357"/>
        <w:rPr>
          <w:rFonts w:cs="Arial"/>
        </w:rPr>
      </w:pPr>
      <w:r>
        <w:rPr>
          <w:rFonts w:cs="Arial"/>
        </w:rPr>
        <w:t xml:space="preserve">Predlog Uredbe </w:t>
      </w:r>
      <w:r w:rsidRPr="00F1194A">
        <w:rPr>
          <w:rFonts w:cs="Arial"/>
        </w:rPr>
        <w:t>o metodologiji za oblikovanje neprofitne najemnine in določitvi višine subvencij najemnin</w:t>
      </w:r>
    </w:p>
    <w:p w14:paraId="66FB9733" w14:textId="77777777" w:rsidR="00F1194A" w:rsidRPr="00F1194A" w:rsidRDefault="00F1194A" w:rsidP="00F1194A">
      <w:pPr>
        <w:pStyle w:val="Odstavekseznama"/>
        <w:numPr>
          <w:ilvl w:val="0"/>
          <w:numId w:val="11"/>
        </w:numPr>
        <w:spacing w:after="120" w:line="240" w:lineRule="auto"/>
        <w:ind w:left="357" w:hanging="357"/>
        <w:rPr>
          <w:rFonts w:cs="Arial"/>
        </w:rPr>
      </w:pPr>
      <w:r>
        <w:rPr>
          <w:rFonts w:cs="Arial"/>
        </w:rPr>
        <w:t>Obrazložitev</w:t>
      </w:r>
    </w:p>
    <w:p w14:paraId="5CE47F48" w14:textId="77777777" w:rsidR="00F1194A" w:rsidRDefault="00F1194A">
      <w:pPr>
        <w:spacing w:line="240" w:lineRule="auto"/>
        <w:rPr>
          <w:rFonts w:cs="Arial"/>
          <w:szCs w:val="20"/>
        </w:rPr>
      </w:pPr>
      <w:r>
        <w:rPr>
          <w:rFonts w:cs="Arial"/>
          <w:szCs w:val="20"/>
        </w:rPr>
        <w:br w:type="page"/>
      </w:r>
    </w:p>
    <w:p w14:paraId="44F3C6D8" w14:textId="77777777" w:rsidR="00CA56A4" w:rsidRPr="0044361D" w:rsidRDefault="00CA56A4" w:rsidP="00832120">
      <w:pPr>
        <w:spacing w:after="120" w:line="240" w:lineRule="auto"/>
        <w:jc w:val="both"/>
        <w:rPr>
          <w:rFonts w:cs="Arial"/>
          <w:szCs w:val="20"/>
        </w:rPr>
      </w:pPr>
      <w:r w:rsidRPr="0044361D">
        <w:rPr>
          <w:rFonts w:cs="Arial"/>
          <w:szCs w:val="20"/>
        </w:rPr>
        <w:lastRenderedPageBreak/>
        <w:t xml:space="preserve">Na podlagi </w:t>
      </w:r>
      <w:r w:rsidR="00FA73EA" w:rsidRPr="00FA73EA">
        <w:rPr>
          <w:rFonts w:cs="Arial"/>
          <w:szCs w:val="20"/>
        </w:rPr>
        <w:t xml:space="preserve">117. </w:t>
      </w:r>
      <w:r w:rsidR="00C31F33">
        <w:rPr>
          <w:rFonts w:cs="Arial"/>
          <w:szCs w:val="20"/>
        </w:rPr>
        <w:t>in 118.</w:t>
      </w:r>
      <w:r w:rsidR="00FA73EA" w:rsidRPr="00FA73EA">
        <w:rPr>
          <w:rFonts w:cs="Arial"/>
          <w:szCs w:val="20"/>
        </w:rPr>
        <w:t xml:space="preserve"> člena Stanovanjskega zakona (Uradni list RS, št. 69/03, 18/04 – ZVKSES, 47/06 – ZEN, 45/08 – </w:t>
      </w:r>
      <w:proofErr w:type="spellStart"/>
      <w:r w:rsidR="00FA73EA" w:rsidRPr="00FA73EA">
        <w:rPr>
          <w:rFonts w:cs="Arial"/>
          <w:szCs w:val="20"/>
        </w:rPr>
        <w:t>ZVEtL</w:t>
      </w:r>
      <w:proofErr w:type="spellEnd"/>
      <w:r w:rsidR="00FA73EA" w:rsidRPr="00FA73EA">
        <w:rPr>
          <w:rFonts w:cs="Arial"/>
          <w:szCs w:val="20"/>
        </w:rPr>
        <w:t xml:space="preserve">, 57/08, 62/10 – </w:t>
      </w:r>
      <w:proofErr w:type="spellStart"/>
      <w:r w:rsidR="00FA73EA" w:rsidRPr="00FA73EA">
        <w:rPr>
          <w:rFonts w:cs="Arial"/>
          <w:szCs w:val="20"/>
        </w:rPr>
        <w:t>ZUPJS</w:t>
      </w:r>
      <w:proofErr w:type="spellEnd"/>
      <w:r w:rsidR="00FA73EA" w:rsidRPr="00FA73EA">
        <w:rPr>
          <w:rFonts w:cs="Arial"/>
          <w:szCs w:val="20"/>
        </w:rPr>
        <w:t xml:space="preserve">, 56/11 – </w:t>
      </w:r>
      <w:proofErr w:type="spellStart"/>
      <w:r w:rsidR="00FA73EA" w:rsidRPr="00FA73EA">
        <w:rPr>
          <w:rFonts w:cs="Arial"/>
          <w:szCs w:val="20"/>
        </w:rPr>
        <w:t>odl</w:t>
      </w:r>
      <w:proofErr w:type="spellEnd"/>
      <w:r w:rsidR="00FA73EA" w:rsidRPr="00FA73EA">
        <w:rPr>
          <w:rFonts w:cs="Arial"/>
          <w:szCs w:val="20"/>
        </w:rPr>
        <w:t xml:space="preserve">. US, 87/11, 40/12 – </w:t>
      </w:r>
      <w:proofErr w:type="spellStart"/>
      <w:r w:rsidR="00FA73EA" w:rsidRPr="00FA73EA">
        <w:rPr>
          <w:rFonts w:cs="Arial"/>
          <w:szCs w:val="20"/>
        </w:rPr>
        <w:t>ZUJF</w:t>
      </w:r>
      <w:proofErr w:type="spellEnd"/>
      <w:r w:rsidR="00FA73EA" w:rsidRPr="00FA73EA">
        <w:rPr>
          <w:rFonts w:cs="Arial"/>
          <w:szCs w:val="20"/>
        </w:rPr>
        <w:t xml:space="preserve">, 14/17 – </w:t>
      </w:r>
      <w:proofErr w:type="spellStart"/>
      <w:r w:rsidR="00FA73EA" w:rsidRPr="00FA73EA">
        <w:rPr>
          <w:rFonts w:cs="Arial"/>
          <w:szCs w:val="20"/>
        </w:rPr>
        <w:t>odl</w:t>
      </w:r>
      <w:proofErr w:type="spellEnd"/>
      <w:r w:rsidR="00FA73EA" w:rsidRPr="00FA73EA">
        <w:rPr>
          <w:rFonts w:cs="Arial"/>
          <w:szCs w:val="20"/>
        </w:rPr>
        <w:t xml:space="preserve">. US, 27/17, 59/19, 189/20 – ZFRO in </w:t>
      </w:r>
      <w:r w:rsidR="00991864">
        <w:rPr>
          <w:iCs/>
          <w:szCs w:val="20"/>
        </w:rPr>
        <w:t>90/21</w:t>
      </w:r>
      <w:r w:rsidR="00FA73EA" w:rsidRPr="00FA73EA">
        <w:rPr>
          <w:rFonts w:cs="Arial"/>
          <w:szCs w:val="20"/>
        </w:rPr>
        <w:t>)</w:t>
      </w:r>
      <w:r w:rsidRPr="0044361D">
        <w:rPr>
          <w:rFonts w:cs="Arial"/>
          <w:szCs w:val="20"/>
        </w:rPr>
        <w:t xml:space="preserve"> izdaja Vlada Republike Slovenije</w:t>
      </w:r>
    </w:p>
    <w:p w14:paraId="57203691" w14:textId="77777777" w:rsidR="00CA56A4" w:rsidRPr="0044361D" w:rsidRDefault="00CA56A4" w:rsidP="00CA56A4">
      <w:pPr>
        <w:spacing w:after="120" w:line="240" w:lineRule="auto"/>
        <w:rPr>
          <w:rFonts w:cs="Arial"/>
          <w:szCs w:val="20"/>
        </w:rPr>
      </w:pPr>
    </w:p>
    <w:p w14:paraId="09DA3A50" w14:textId="77777777" w:rsidR="00CA56A4" w:rsidRPr="0044361D" w:rsidRDefault="00CA56A4" w:rsidP="00CA56A4">
      <w:pPr>
        <w:spacing w:after="120" w:line="240" w:lineRule="auto"/>
        <w:rPr>
          <w:rFonts w:cs="Arial"/>
          <w:szCs w:val="20"/>
        </w:rPr>
      </w:pPr>
    </w:p>
    <w:p w14:paraId="13FBB62E" w14:textId="77777777" w:rsidR="00CA56A4" w:rsidRPr="00A36A71" w:rsidRDefault="00CA56A4" w:rsidP="00CA56A4">
      <w:pPr>
        <w:spacing w:after="120" w:line="240" w:lineRule="auto"/>
        <w:jc w:val="center"/>
        <w:rPr>
          <w:rFonts w:cs="Arial"/>
          <w:b/>
          <w:szCs w:val="20"/>
        </w:rPr>
      </w:pPr>
      <w:r w:rsidRPr="00A36A71">
        <w:rPr>
          <w:rFonts w:cs="Arial"/>
          <w:b/>
          <w:szCs w:val="20"/>
        </w:rPr>
        <w:t>UREDBO</w:t>
      </w:r>
    </w:p>
    <w:p w14:paraId="3A88AF25" w14:textId="77777777" w:rsidR="00F1194A" w:rsidRPr="00A36A71" w:rsidRDefault="00832120" w:rsidP="00F1194A">
      <w:pPr>
        <w:spacing w:after="120" w:line="240" w:lineRule="auto"/>
        <w:jc w:val="center"/>
        <w:rPr>
          <w:rFonts w:cs="Arial"/>
          <w:b/>
          <w:szCs w:val="20"/>
        </w:rPr>
      </w:pPr>
      <w:r w:rsidRPr="00A36A71">
        <w:rPr>
          <w:rFonts w:cs="Arial"/>
          <w:b/>
          <w:szCs w:val="20"/>
        </w:rPr>
        <w:t>o metodologiji za oblikovanje neprofitne najemnine in določitvi višine subvencij najemnin</w:t>
      </w:r>
    </w:p>
    <w:p w14:paraId="28B3ED45" w14:textId="77777777" w:rsidR="00F1194A" w:rsidRPr="00A36A71" w:rsidRDefault="00F1194A" w:rsidP="00F1194A">
      <w:pPr>
        <w:spacing w:after="120" w:line="240" w:lineRule="auto"/>
        <w:jc w:val="center"/>
        <w:rPr>
          <w:rFonts w:cs="Arial"/>
          <w:b/>
          <w:szCs w:val="20"/>
        </w:rPr>
      </w:pPr>
    </w:p>
    <w:p w14:paraId="19A226D7" w14:textId="77777777" w:rsidR="00A36A71" w:rsidRPr="00A36A71" w:rsidRDefault="00A36A71" w:rsidP="00A36A71">
      <w:pPr>
        <w:pStyle w:val="len"/>
        <w:rPr>
          <w:sz w:val="20"/>
          <w:szCs w:val="20"/>
        </w:rPr>
      </w:pPr>
      <w:r w:rsidRPr="00A36A71">
        <w:rPr>
          <w:sz w:val="20"/>
          <w:szCs w:val="20"/>
        </w:rPr>
        <w:t>1. člen</w:t>
      </w:r>
    </w:p>
    <w:p w14:paraId="7CB8D779" w14:textId="77777777" w:rsidR="00A36A71" w:rsidRPr="00A36A71" w:rsidRDefault="00A36A71" w:rsidP="00A36A71">
      <w:pPr>
        <w:pStyle w:val="Odstavek"/>
        <w:rPr>
          <w:sz w:val="20"/>
          <w:szCs w:val="20"/>
          <w:lang w:val="sl-SI"/>
        </w:rPr>
      </w:pPr>
      <w:r w:rsidRPr="00A36A71">
        <w:rPr>
          <w:sz w:val="20"/>
          <w:szCs w:val="20"/>
          <w:lang w:val="sl-SI"/>
        </w:rPr>
        <w:t>Ta uredba določa</w:t>
      </w:r>
      <w:r w:rsidRPr="00A36A71">
        <w:rPr>
          <w:sz w:val="20"/>
          <w:szCs w:val="20"/>
        </w:rPr>
        <w:t xml:space="preserve"> metodologijo za oblikovanje</w:t>
      </w:r>
      <w:r w:rsidRPr="00A36A71">
        <w:rPr>
          <w:sz w:val="20"/>
          <w:szCs w:val="20"/>
          <w:lang w:val="sl-SI"/>
        </w:rPr>
        <w:t xml:space="preserve"> neprofitne</w:t>
      </w:r>
      <w:r w:rsidRPr="00A36A71">
        <w:rPr>
          <w:sz w:val="20"/>
          <w:szCs w:val="20"/>
        </w:rPr>
        <w:t xml:space="preserve"> najemnin</w:t>
      </w:r>
      <w:r w:rsidRPr="00A36A71">
        <w:rPr>
          <w:sz w:val="20"/>
          <w:szCs w:val="20"/>
          <w:lang w:val="sl-SI"/>
        </w:rPr>
        <w:t xml:space="preserve">e in </w:t>
      </w:r>
      <w:r w:rsidRPr="00A36A71">
        <w:rPr>
          <w:sz w:val="20"/>
          <w:szCs w:val="20"/>
        </w:rPr>
        <w:t>način izračun</w:t>
      </w:r>
      <w:r w:rsidRPr="00A36A71">
        <w:rPr>
          <w:sz w:val="20"/>
          <w:szCs w:val="20"/>
          <w:lang w:val="sl-SI"/>
        </w:rPr>
        <w:t>a</w:t>
      </w:r>
      <w:r w:rsidRPr="00A36A71">
        <w:rPr>
          <w:sz w:val="20"/>
          <w:szCs w:val="20"/>
        </w:rPr>
        <w:t xml:space="preserve"> najvišj</w:t>
      </w:r>
      <w:r w:rsidRPr="00A36A71">
        <w:rPr>
          <w:sz w:val="20"/>
          <w:szCs w:val="20"/>
          <w:lang w:val="sl-SI"/>
        </w:rPr>
        <w:t>e neprofitne</w:t>
      </w:r>
      <w:r w:rsidRPr="00A36A71">
        <w:rPr>
          <w:sz w:val="20"/>
          <w:szCs w:val="20"/>
        </w:rPr>
        <w:t xml:space="preserve"> najemnin</w:t>
      </w:r>
      <w:r w:rsidRPr="00A36A71">
        <w:rPr>
          <w:sz w:val="20"/>
          <w:szCs w:val="20"/>
          <w:lang w:val="sl-SI"/>
        </w:rPr>
        <w:t>e</w:t>
      </w:r>
      <w:r w:rsidRPr="00A36A71">
        <w:rPr>
          <w:sz w:val="20"/>
          <w:szCs w:val="20"/>
        </w:rPr>
        <w:t>, vpliv lokacije</w:t>
      </w:r>
      <w:r w:rsidRPr="00A36A71">
        <w:rPr>
          <w:sz w:val="20"/>
          <w:szCs w:val="20"/>
          <w:lang w:val="sl-SI"/>
        </w:rPr>
        <w:t xml:space="preserve">, </w:t>
      </w:r>
      <w:r w:rsidRPr="00A36A71">
        <w:rPr>
          <w:sz w:val="20"/>
          <w:szCs w:val="20"/>
        </w:rPr>
        <w:t>najvišje priznane tržne najemnine</w:t>
      </w:r>
      <w:r w:rsidRPr="00A36A71">
        <w:rPr>
          <w:sz w:val="20"/>
          <w:szCs w:val="20"/>
          <w:lang w:val="sl-SI"/>
        </w:rPr>
        <w:t>,</w:t>
      </w:r>
      <w:r w:rsidRPr="00A36A71">
        <w:rPr>
          <w:sz w:val="20"/>
          <w:szCs w:val="20"/>
        </w:rPr>
        <w:t xml:space="preserve"> </w:t>
      </w:r>
      <w:r w:rsidRPr="00A36A71">
        <w:rPr>
          <w:sz w:val="20"/>
          <w:szCs w:val="20"/>
          <w:lang w:val="sl-SI"/>
        </w:rPr>
        <w:t>višino</w:t>
      </w:r>
      <w:r w:rsidRPr="00A36A71">
        <w:rPr>
          <w:sz w:val="20"/>
          <w:szCs w:val="20"/>
        </w:rPr>
        <w:t xml:space="preserve"> subvenci</w:t>
      </w:r>
      <w:r w:rsidRPr="00A36A71">
        <w:rPr>
          <w:sz w:val="20"/>
          <w:szCs w:val="20"/>
          <w:lang w:val="sl-SI"/>
        </w:rPr>
        <w:t>je neprofitne</w:t>
      </w:r>
      <w:r w:rsidRPr="00A36A71">
        <w:rPr>
          <w:sz w:val="20"/>
          <w:szCs w:val="20"/>
        </w:rPr>
        <w:t xml:space="preserve"> najemnine </w:t>
      </w:r>
      <w:r w:rsidRPr="00A36A71">
        <w:rPr>
          <w:sz w:val="20"/>
          <w:szCs w:val="20"/>
          <w:lang w:val="sl-SI"/>
        </w:rPr>
        <w:t>in</w:t>
      </w:r>
      <w:r w:rsidRPr="00A36A71">
        <w:rPr>
          <w:sz w:val="20"/>
          <w:szCs w:val="20"/>
        </w:rPr>
        <w:t xml:space="preserve"> </w:t>
      </w:r>
      <w:r w:rsidRPr="00A36A71">
        <w:rPr>
          <w:sz w:val="20"/>
          <w:szCs w:val="20"/>
          <w:lang w:val="sl-SI"/>
        </w:rPr>
        <w:t xml:space="preserve">višino </w:t>
      </w:r>
      <w:r w:rsidRPr="00A36A71">
        <w:rPr>
          <w:sz w:val="20"/>
          <w:szCs w:val="20"/>
        </w:rPr>
        <w:t>subvencije k plačilu tržne najemnine.</w:t>
      </w:r>
    </w:p>
    <w:p w14:paraId="5A2F4733" w14:textId="77777777" w:rsidR="00A36A71" w:rsidRPr="00A36A71" w:rsidRDefault="00A36A71" w:rsidP="00A36A71">
      <w:pPr>
        <w:pStyle w:val="Poglavje"/>
        <w:rPr>
          <w:sz w:val="20"/>
          <w:szCs w:val="20"/>
        </w:rPr>
      </w:pPr>
      <w:r w:rsidRPr="00A36A71">
        <w:rPr>
          <w:sz w:val="20"/>
          <w:szCs w:val="20"/>
        </w:rPr>
        <w:t>I. METODOLOGIJA ZA OBLIKOVANJE NEPROFITNE NAJEMNINE</w:t>
      </w:r>
    </w:p>
    <w:p w14:paraId="62CB4E4F" w14:textId="77777777" w:rsidR="00A36A71" w:rsidRPr="00A36A71" w:rsidRDefault="00A36A71" w:rsidP="00A36A71">
      <w:pPr>
        <w:pStyle w:val="len"/>
        <w:rPr>
          <w:sz w:val="20"/>
          <w:szCs w:val="20"/>
        </w:rPr>
      </w:pPr>
      <w:r w:rsidRPr="00A36A71">
        <w:rPr>
          <w:sz w:val="20"/>
          <w:szCs w:val="20"/>
          <w:lang w:val="sl-SI"/>
        </w:rPr>
        <w:t>2</w:t>
      </w:r>
      <w:r w:rsidRPr="00A36A71">
        <w:rPr>
          <w:sz w:val="20"/>
          <w:szCs w:val="20"/>
        </w:rPr>
        <w:t>. člen</w:t>
      </w:r>
    </w:p>
    <w:p w14:paraId="2C882449" w14:textId="77777777" w:rsidR="00A36A71" w:rsidRPr="00A36A71" w:rsidRDefault="00A36A71" w:rsidP="00A36A71">
      <w:pPr>
        <w:pStyle w:val="Odstavek"/>
        <w:rPr>
          <w:sz w:val="20"/>
          <w:szCs w:val="20"/>
          <w:lang w:val="sl-SI"/>
        </w:rPr>
      </w:pPr>
      <w:r w:rsidRPr="00A36A71">
        <w:rPr>
          <w:sz w:val="20"/>
          <w:szCs w:val="20"/>
          <w:lang w:val="sl-SI"/>
        </w:rPr>
        <w:t xml:space="preserve">Neprofitna najemnina se </w:t>
      </w:r>
      <w:r w:rsidRPr="00A36A71">
        <w:rPr>
          <w:rFonts w:eastAsia="Arial" w:cs="Arial"/>
          <w:kern w:val="1"/>
          <w:sz w:val="20"/>
          <w:szCs w:val="20"/>
          <w:lang w:val="sl-SI"/>
        </w:rPr>
        <w:t xml:space="preserve">določi </w:t>
      </w:r>
      <w:r w:rsidRPr="00A36A71">
        <w:rPr>
          <w:sz w:val="20"/>
          <w:szCs w:val="20"/>
          <w:lang w:val="sl-SI"/>
        </w:rPr>
        <w:t>po naslednji enačbi:</w:t>
      </w:r>
    </w:p>
    <w:p w14:paraId="7DE4DA75" w14:textId="77777777" w:rsidR="00A36A71" w:rsidRPr="00A36A71" w:rsidRDefault="00A36A71" w:rsidP="00A36A71">
      <w:pPr>
        <w:pStyle w:val="Odstavek"/>
        <w:rPr>
          <w:sz w:val="20"/>
          <w:szCs w:val="20"/>
        </w:rPr>
      </w:pPr>
      <w:r w:rsidRPr="00A36A71">
        <w:rPr>
          <w:sz w:val="20"/>
          <w:szCs w:val="20"/>
        </w:rPr>
        <w:t>vrednost stanovanja x letna stopnja najemnine</w:t>
      </w:r>
      <w:r w:rsidRPr="00A36A71">
        <w:rPr>
          <w:sz w:val="20"/>
          <w:szCs w:val="20"/>
          <w:lang w:val="sl-SI"/>
        </w:rPr>
        <w:t xml:space="preserve"> /</w:t>
      </w:r>
      <w:r w:rsidRPr="00A36A71">
        <w:rPr>
          <w:sz w:val="20"/>
          <w:szCs w:val="20"/>
        </w:rPr>
        <w:t xml:space="preserve"> 12 mesecev.</w:t>
      </w:r>
    </w:p>
    <w:p w14:paraId="4F9DC7D1" w14:textId="77777777" w:rsidR="00A36A71" w:rsidRPr="00A36A71" w:rsidRDefault="00A36A71" w:rsidP="00A36A71">
      <w:pPr>
        <w:pStyle w:val="len"/>
        <w:rPr>
          <w:sz w:val="20"/>
          <w:szCs w:val="20"/>
        </w:rPr>
      </w:pPr>
      <w:r w:rsidRPr="00A36A71">
        <w:rPr>
          <w:sz w:val="20"/>
          <w:szCs w:val="20"/>
          <w:lang w:val="sl-SI"/>
        </w:rPr>
        <w:t>3</w:t>
      </w:r>
      <w:r w:rsidRPr="00A36A71">
        <w:rPr>
          <w:sz w:val="20"/>
          <w:szCs w:val="20"/>
        </w:rPr>
        <w:t>. člen</w:t>
      </w:r>
    </w:p>
    <w:p w14:paraId="73078CF1" w14:textId="77777777" w:rsidR="00A36A71" w:rsidRPr="00A36A71" w:rsidRDefault="00A36A71" w:rsidP="00A36A71">
      <w:pPr>
        <w:pStyle w:val="Odstavek"/>
        <w:rPr>
          <w:sz w:val="20"/>
          <w:szCs w:val="20"/>
        </w:rPr>
      </w:pPr>
      <w:r w:rsidRPr="00A36A71">
        <w:rPr>
          <w:sz w:val="20"/>
          <w:szCs w:val="20"/>
          <w:lang w:val="sl-SI"/>
        </w:rPr>
        <w:t xml:space="preserve">(1) </w:t>
      </w:r>
      <w:r w:rsidRPr="00A36A71">
        <w:rPr>
          <w:sz w:val="20"/>
          <w:szCs w:val="20"/>
        </w:rPr>
        <w:t xml:space="preserve">Vrednost stanovanja se izračuna po naslednji </w:t>
      </w:r>
      <w:r w:rsidRPr="00A36A71">
        <w:rPr>
          <w:sz w:val="20"/>
          <w:szCs w:val="20"/>
          <w:lang w:val="sl-SI"/>
        </w:rPr>
        <w:t>enačbi</w:t>
      </w:r>
      <w:r w:rsidRPr="00A36A71">
        <w:rPr>
          <w:sz w:val="20"/>
          <w:szCs w:val="20"/>
        </w:rPr>
        <w:t>:</w:t>
      </w:r>
    </w:p>
    <w:p w14:paraId="03B6E899" w14:textId="77777777" w:rsidR="00A36A71" w:rsidRPr="00A36A71" w:rsidRDefault="00A36A71" w:rsidP="00A36A71">
      <w:pPr>
        <w:pStyle w:val="Odstavek"/>
        <w:rPr>
          <w:sz w:val="20"/>
          <w:szCs w:val="20"/>
          <w:lang w:val="sl-SI"/>
        </w:rPr>
      </w:pPr>
      <w:r w:rsidRPr="00A36A71">
        <w:rPr>
          <w:sz w:val="20"/>
          <w:szCs w:val="20"/>
        </w:rPr>
        <w:t xml:space="preserve">Vrednost stanovanja = število točk x vrednost točke x uporabna </w:t>
      </w:r>
      <w:r w:rsidRPr="00A36A71">
        <w:rPr>
          <w:sz w:val="20"/>
          <w:szCs w:val="20"/>
          <w:lang w:val="sl-SI"/>
        </w:rPr>
        <w:t xml:space="preserve">stanovanjska </w:t>
      </w:r>
      <w:r w:rsidRPr="00A36A71">
        <w:rPr>
          <w:sz w:val="20"/>
          <w:szCs w:val="20"/>
        </w:rPr>
        <w:t>površina x vpliv velikosti stanovanja (korekcijski faktor) x vpliv lokacije stanovanja.</w:t>
      </w:r>
      <w:r w:rsidRPr="00A36A71">
        <w:rPr>
          <w:sz w:val="20"/>
          <w:szCs w:val="20"/>
          <w:lang w:val="sl-SI"/>
        </w:rPr>
        <w:t xml:space="preserve"> </w:t>
      </w:r>
    </w:p>
    <w:p w14:paraId="1B05F08E" w14:textId="77777777" w:rsidR="00A36A71" w:rsidRPr="00A36A71" w:rsidRDefault="00A36A71" w:rsidP="00A36A71">
      <w:pPr>
        <w:pStyle w:val="Odstavek"/>
        <w:rPr>
          <w:sz w:val="20"/>
          <w:szCs w:val="20"/>
          <w:lang w:val="sl-SI"/>
        </w:rPr>
      </w:pPr>
      <w:r w:rsidRPr="00A36A71">
        <w:rPr>
          <w:sz w:val="20"/>
          <w:szCs w:val="20"/>
          <w:lang w:val="sl-SI"/>
        </w:rPr>
        <w:t>(2) Pri določanju vrednosti stanovanja, katerega najemnik ali uporabnik je invalid, ki je trajno vezan na uporabo invalidskega vozička, se uporabna stanovanjska površina pomnoži s količnikom 0,8.</w:t>
      </w:r>
    </w:p>
    <w:p w14:paraId="4DEA2930" w14:textId="77777777" w:rsidR="00A36A71" w:rsidRPr="00A36A71" w:rsidRDefault="00A36A71" w:rsidP="00A36A71">
      <w:pPr>
        <w:pStyle w:val="len"/>
        <w:rPr>
          <w:sz w:val="20"/>
          <w:szCs w:val="20"/>
        </w:rPr>
      </w:pPr>
      <w:r w:rsidRPr="00A36A71">
        <w:rPr>
          <w:sz w:val="20"/>
          <w:szCs w:val="20"/>
          <w:lang w:val="sl-SI"/>
        </w:rPr>
        <w:t>4</w:t>
      </w:r>
      <w:r w:rsidRPr="00A36A71">
        <w:rPr>
          <w:sz w:val="20"/>
          <w:szCs w:val="20"/>
        </w:rPr>
        <w:t>. člen</w:t>
      </w:r>
    </w:p>
    <w:p w14:paraId="2B3AF9B8" w14:textId="77777777" w:rsidR="00A36A71" w:rsidRPr="00A36A71" w:rsidRDefault="00A36A71" w:rsidP="00A36A71">
      <w:pPr>
        <w:pStyle w:val="Odstavek"/>
        <w:rPr>
          <w:sz w:val="20"/>
          <w:szCs w:val="20"/>
          <w:lang w:val="sl-SI"/>
        </w:rPr>
      </w:pPr>
      <w:r w:rsidRPr="00A36A71">
        <w:rPr>
          <w:sz w:val="20"/>
          <w:szCs w:val="20"/>
        </w:rPr>
        <w:t xml:space="preserve">Število točk, uporabna </w:t>
      </w:r>
      <w:r w:rsidRPr="00A36A71">
        <w:rPr>
          <w:sz w:val="20"/>
          <w:szCs w:val="20"/>
          <w:lang w:val="sl-SI"/>
        </w:rPr>
        <w:t xml:space="preserve">stanovanjska </w:t>
      </w:r>
      <w:r w:rsidRPr="00A36A71">
        <w:rPr>
          <w:sz w:val="20"/>
          <w:szCs w:val="20"/>
        </w:rPr>
        <w:t xml:space="preserve">površina in vpliv velikosti stanovanja so razvidni iz zapisnikov o </w:t>
      </w:r>
      <w:r w:rsidRPr="00A36A71">
        <w:rPr>
          <w:sz w:val="20"/>
          <w:szCs w:val="20"/>
          <w:lang w:val="sl-SI"/>
        </w:rPr>
        <w:t>točkovanju</w:t>
      </w:r>
      <w:r w:rsidRPr="00A36A71">
        <w:rPr>
          <w:sz w:val="20"/>
          <w:szCs w:val="20"/>
        </w:rPr>
        <w:t xml:space="preserve"> stanovanj</w:t>
      </w:r>
      <w:r w:rsidRPr="00A36A71">
        <w:rPr>
          <w:sz w:val="20"/>
          <w:szCs w:val="20"/>
          <w:lang w:val="sl-SI"/>
        </w:rPr>
        <w:t>a</w:t>
      </w:r>
      <w:r w:rsidRPr="00A36A71">
        <w:rPr>
          <w:sz w:val="20"/>
          <w:szCs w:val="20"/>
        </w:rPr>
        <w:t xml:space="preserve"> po </w:t>
      </w:r>
      <w:r w:rsidRPr="00A36A71">
        <w:rPr>
          <w:sz w:val="20"/>
          <w:szCs w:val="20"/>
          <w:lang w:val="sl-SI"/>
        </w:rPr>
        <w:t xml:space="preserve">predpisu, ki ureja </w:t>
      </w:r>
      <w:r w:rsidRPr="00A36A71">
        <w:rPr>
          <w:sz w:val="20"/>
          <w:szCs w:val="20"/>
        </w:rPr>
        <w:t>meril</w:t>
      </w:r>
      <w:r w:rsidRPr="00A36A71">
        <w:rPr>
          <w:sz w:val="20"/>
          <w:szCs w:val="20"/>
          <w:lang w:val="sl-SI"/>
        </w:rPr>
        <w:t>a</w:t>
      </w:r>
      <w:r w:rsidRPr="00A36A71">
        <w:rPr>
          <w:sz w:val="20"/>
          <w:szCs w:val="20"/>
        </w:rPr>
        <w:t xml:space="preserve"> za ugotavljanje vrednosti stanovanj in stanovanjskih stavb.</w:t>
      </w:r>
      <w:r w:rsidRPr="00A36A71">
        <w:rPr>
          <w:sz w:val="20"/>
          <w:szCs w:val="20"/>
          <w:lang w:val="sl-SI"/>
        </w:rPr>
        <w:t xml:space="preserve"> </w:t>
      </w:r>
      <w:r w:rsidR="002E4558">
        <w:rPr>
          <w:sz w:val="20"/>
          <w:szCs w:val="20"/>
          <w:lang w:val="sl-SI"/>
        </w:rPr>
        <w:t>Za</w:t>
      </w:r>
      <w:r w:rsidR="002E4558" w:rsidRPr="00A36A71">
        <w:rPr>
          <w:sz w:val="20"/>
          <w:szCs w:val="20"/>
          <w:lang w:val="sl-SI"/>
        </w:rPr>
        <w:t xml:space="preserve"> </w:t>
      </w:r>
      <w:r w:rsidRPr="00A36A71">
        <w:rPr>
          <w:sz w:val="20"/>
          <w:szCs w:val="20"/>
          <w:lang w:val="sl-SI"/>
        </w:rPr>
        <w:t>uporabn</w:t>
      </w:r>
      <w:r w:rsidR="002E4558">
        <w:rPr>
          <w:sz w:val="20"/>
          <w:szCs w:val="20"/>
          <w:lang w:val="sl-SI"/>
        </w:rPr>
        <w:t>o</w:t>
      </w:r>
      <w:r w:rsidRPr="00A36A71">
        <w:rPr>
          <w:sz w:val="20"/>
          <w:szCs w:val="20"/>
          <w:lang w:val="sl-SI"/>
        </w:rPr>
        <w:t xml:space="preserve"> stanovanjsk</w:t>
      </w:r>
      <w:r w:rsidR="002E4558">
        <w:rPr>
          <w:sz w:val="20"/>
          <w:szCs w:val="20"/>
          <w:lang w:val="sl-SI"/>
        </w:rPr>
        <w:t>o</w:t>
      </w:r>
      <w:r w:rsidRPr="00A36A71">
        <w:rPr>
          <w:sz w:val="20"/>
          <w:szCs w:val="20"/>
          <w:lang w:val="sl-SI"/>
        </w:rPr>
        <w:t xml:space="preserve"> površin</w:t>
      </w:r>
      <w:r w:rsidR="002E4558">
        <w:rPr>
          <w:sz w:val="20"/>
          <w:szCs w:val="20"/>
          <w:lang w:val="sl-SI"/>
        </w:rPr>
        <w:t>o</w:t>
      </w:r>
      <w:r w:rsidRPr="00A36A71">
        <w:rPr>
          <w:sz w:val="20"/>
          <w:szCs w:val="20"/>
          <w:lang w:val="sl-SI"/>
        </w:rPr>
        <w:t xml:space="preserve"> se šteje uporabna popravljena neto tlorisna površina stanovanja, določena z zapisnikom iz prejšnje povedi. </w:t>
      </w:r>
      <w:r w:rsidR="002E4558">
        <w:rPr>
          <w:sz w:val="20"/>
          <w:szCs w:val="20"/>
          <w:lang w:val="sl-SI"/>
        </w:rPr>
        <w:t>Za določitev vpliva</w:t>
      </w:r>
      <w:r w:rsidRPr="00A36A71">
        <w:rPr>
          <w:sz w:val="20"/>
          <w:szCs w:val="20"/>
          <w:lang w:val="sl-SI"/>
        </w:rPr>
        <w:t xml:space="preserve"> lokacije stanovanja se upošteva lokacijski faktor določen na način iz 6. člena te uredbe.</w:t>
      </w:r>
    </w:p>
    <w:p w14:paraId="108AD52C" w14:textId="77777777" w:rsidR="00A36A71" w:rsidRPr="00A36A71" w:rsidRDefault="00A36A71" w:rsidP="00A36A71">
      <w:pPr>
        <w:pStyle w:val="len"/>
        <w:rPr>
          <w:sz w:val="20"/>
          <w:szCs w:val="20"/>
        </w:rPr>
      </w:pPr>
      <w:r w:rsidRPr="00A36A71">
        <w:rPr>
          <w:sz w:val="20"/>
          <w:szCs w:val="20"/>
          <w:lang w:val="sl-SI"/>
        </w:rPr>
        <w:t>5</w:t>
      </w:r>
      <w:r w:rsidRPr="00A36A71">
        <w:rPr>
          <w:sz w:val="20"/>
          <w:szCs w:val="20"/>
        </w:rPr>
        <w:t>. člen</w:t>
      </w:r>
    </w:p>
    <w:p w14:paraId="3920BDD8" w14:textId="77777777" w:rsidR="00A36A71" w:rsidRPr="00A36A71" w:rsidRDefault="00A36A71" w:rsidP="00A36A71">
      <w:pPr>
        <w:pStyle w:val="Odstavek"/>
        <w:rPr>
          <w:sz w:val="20"/>
          <w:szCs w:val="20"/>
          <w:lang w:val="sl-SI"/>
        </w:rPr>
      </w:pPr>
      <w:r w:rsidRPr="00A36A71">
        <w:rPr>
          <w:sz w:val="20"/>
          <w:szCs w:val="20"/>
          <w:lang w:val="sl-SI"/>
        </w:rPr>
        <w:t>(1) Letna stopnja neprofitne najemnine je seštevek dovoljenih stopenj posameznih elementov neprofitne najemnine določenih z zakonom, ki ureja stanovanjska najemna razmerja, in je izražena v deležu.</w:t>
      </w:r>
    </w:p>
    <w:p w14:paraId="381FDE89" w14:textId="77777777" w:rsidR="00A36A71" w:rsidRPr="00A36A71" w:rsidRDefault="00A36A71" w:rsidP="00A36A71">
      <w:pPr>
        <w:pStyle w:val="Odstavek"/>
        <w:spacing w:after="400"/>
        <w:rPr>
          <w:sz w:val="20"/>
          <w:szCs w:val="20"/>
          <w:lang w:val="sl-SI"/>
        </w:rPr>
      </w:pPr>
      <w:r w:rsidRPr="00A36A71">
        <w:rPr>
          <w:sz w:val="20"/>
          <w:szCs w:val="20"/>
          <w:lang w:val="sl-SI"/>
        </w:rPr>
        <w:t xml:space="preserve">(2) Elementi neprofitne najemnine in </w:t>
      </w:r>
      <w:r w:rsidRPr="00A36A71">
        <w:rPr>
          <w:sz w:val="20"/>
          <w:szCs w:val="20"/>
        </w:rPr>
        <w:t>najvišj</w:t>
      </w:r>
      <w:r w:rsidRPr="00A36A71">
        <w:rPr>
          <w:sz w:val="20"/>
          <w:szCs w:val="20"/>
          <w:lang w:val="sl-SI"/>
        </w:rPr>
        <w:t>a</w:t>
      </w:r>
      <w:r w:rsidRPr="00A36A71">
        <w:rPr>
          <w:sz w:val="20"/>
          <w:szCs w:val="20"/>
        </w:rPr>
        <w:t xml:space="preserve"> letn</w:t>
      </w:r>
      <w:r w:rsidRPr="00A36A71">
        <w:rPr>
          <w:sz w:val="20"/>
          <w:szCs w:val="20"/>
          <w:lang w:val="sl-SI"/>
        </w:rPr>
        <w:t>a</w:t>
      </w:r>
      <w:r w:rsidRPr="00A36A71">
        <w:rPr>
          <w:sz w:val="20"/>
          <w:szCs w:val="20"/>
        </w:rPr>
        <w:t xml:space="preserve"> stopnj</w:t>
      </w:r>
      <w:r w:rsidRPr="00A36A71">
        <w:rPr>
          <w:sz w:val="20"/>
          <w:szCs w:val="20"/>
          <w:lang w:val="sl-SI"/>
        </w:rPr>
        <w:t>a</w:t>
      </w:r>
      <w:r w:rsidRPr="00A36A71">
        <w:rPr>
          <w:sz w:val="20"/>
          <w:szCs w:val="20"/>
        </w:rPr>
        <w:t xml:space="preserve"> </w:t>
      </w:r>
      <w:r w:rsidRPr="00A36A71">
        <w:rPr>
          <w:sz w:val="20"/>
          <w:szCs w:val="20"/>
          <w:lang w:val="sl-SI"/>
        </w:rPr>
        <w:t xml:space="preserve">neprofitne najemnine </w:t>
      </w:r>
      <w:r w:rsidRPr="00A36A71">
        <w:rPr>
          <w:sz w:val="20"/>
          <w:szCs w:val="20"/>
        </w:rPr>
        <w:t xml:space="preserve">v </w:t>
      </w:r>
      <w:r w:rsidRPr="00A36A71">
        <w:rPr>
          <w:sz w:val="20"/>
          <w:szCs w:val="20"/>
          <w:lang w:val="sl-SI"/>
        </w:rPr>
        <w:t>deležih:</w:t>
      </w:r>
    </w:p>
    <w:tbl>
      <w:tblPr>
        <w:tblW w:w="9289" w:type="dxa"/>
        <w:jc w:val="center"/>
        <w:tblLook w:val="04A0" w:firstRow="1" w:lastRow="0" w:firstColumn="1" w:lastColumn="0" w:noHBand="0" w:noVBand="1"/>
      </w:tblPr>
      <w:tblGrid>
        <w:gridCol w:w="4361"/>
        <w:gridCol w:w="2660"/>
        <w:gridCol w:w="2268"/>
      </w:tblGrid>
      <w:tr w:rsidR="00A36A71" w:rsidRPr="00A36A71" w14:paraId="0A22E88B" w14:textId="77777777" w:rsidTr="002C6A27">
        <w:trPr>
          <w:jc w:val="center"/>
        </w:trPr>
        <w:tc>
          <w:tcPr>
            <w:tcW w:w="4361" w:type="dxa"/>
            <w:tcBorders>
              <w:top w:val="single" w:sz="4" w:space="0" w:color="auto"/>
              <w:bottom w:val="single" w:sz="4" w:space="0" w:color="auto"/>
            </w:tcBorders>
          </w:tcPr>
          <w:p w14:paraId="39A90A28" w14:textId="77777777" w:rsidR="00A36A71" w:rsidRPr="00A36A71" w:rsidRDefault="00A36A71" w:rsidP="002C6A27">
            <w:pPr>
              <w:pStyle w:val="Odstavek"/>
              <w:spacing w:before="0"/>
              <w:ind w:firstLine="0"/>
              <w:rPr>
                <w:rFonts w:cs="Arial"/>
                <w:sz w:val="20"/>
                <w:szCs w:val="20"/>
                <w:lang w:val="sl-SI" w:eastAsia="sl-SI"/>
              </w:rPr>
            </w:pPr>
            <w:r w:rsidRPr="00A36A71">
              <w:rPr>
                <w:rFonts w:cs="Arial"/>
                <w:sz w:val="20"/>
                <w:szCs w:val="20"/>
                <w:lang w:val="sl-SI" w:eastAsia="sl-SI"/>
              </w:rPr>
              <w:lastRenderedPageBreak/>
              <w:t>Elementi najemnine</w:t>
            </w:r>
          </w:p>
        </w:tc>
        <w:tc>
          <w:tcPr>
            <w:tcW w:w="2660" w:type="dxa"/>
            <w:tcBorders>
              <w:top w:val="single" w:sz="4" w:space="0" w:color="auto"/>
              <w:bottom w:val="single" w:sz="4" w:space="0" w:color="auto"/>
            </w:tcBorders>
            <w:vAlign w:val="center"/>
          </w:tcPr>
          <w:p w14:paraId="24F778F3"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Stanovanja stara do 60 let (v%)</w:t>
            </w:r>
          </w:p>
        </w:tc>
        <w:tc>
          <w:tcPr>
            <w:tcW w:w="2268" w:type="dxa"/>
            <w:tcBorders>
              <w:top w:val="single" w:sz="4" w:space="0" w:color="auto"/>
              <w:bottom w:val="single" w:sz="4" w:space="0" w:color="auto"/>
            </w:tcBorders>
            <w:vAlign w:val="center"/>
          </w:tcPr>
          <w:p w14:paraId="44E7C2A4"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Stanovanja stara nad 60 let (v%)</w:t>
            </w:r>
          </w:p>
        </w:tc>
      </w:tr>
      <w:tr w:rsidR="00A36A71" w:rsidRPr="00A36A71" w14:paraId="003BE898" w14:textId="77777777" w:rsidTr="002C6A27">
        <w:trPr>
          <w:jc w:val="center"/>
        </w:trPr>
        <w:tc>
          <w:tcPr>
            <w:tcW w:w="4361" w:type="dxa"/>
            <w:tcBorders>
              <w:top w:val="single" w:sz="4" w:space="0" w:color="auto"/>
            </w:tcBorders>
          </w:tcPr>
          <w:p w14:paraId="783FE39A" w14:textId="77777777" w:rsidR="00A36A71" w:rsidRPr="00A36A71" w:rsidRDefault="00A36A71" w:rsidP="002C6A27">
            <w:pPr>
              <w:pStyle w:val="Odstavek"/>
              <w:spacing w:before="0"/>
              <w:ind w:firstLine="0"/>
              <w:rPr>
                <w:rFonts w:cs="Arial"/>
                <w:sz w:val="20"/>
                <w:szCs w:val="20"/>
                <w:lang w:val="sl-SI" w:eastAsia="sl-SI"/>
              </w:rPr>
            </w:pPr>
            <w:r w:rsidRPr="00A36A71">
              <w:rPr>
                <w:rFonts w:cs="Arial"/>
                <w:sz w:val="20"/>
                <w:szCs w:val="20"/>
                <w:lang w:val="sl-SI" w:eastAsia="sl-SI"/>
              </w:rPr>
              <w:t>stroški vzdrževanja</w:t>
            </w:r>
          </w:p>
        </w:tc>
        <w:tc>
          <w:tcPr>
            <w:tcW w:w="2660" w:type="dxa"/>
            <w:tcBorders>
              <w:top w:val="single" w:sz="4" w:space="0" w:color="auto"/>
            </w:tcBorders>
            <w:vAlign w:val="center"/>
          </w:tcPr>
          <w:p w14:paraId="460B733F"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1,11</w:t>
            </w:r>
          </w:p>
        </w:tc>
        <w:tc>
          <w:tcPr>
            <w:tcW w:w="2268" w:type="dxa"/>
            <w:tcBorders>
              <w:top w:val="single" w:sz="4" w:space="0" w:color="auto"/>
            </w:tcBorders>
            <w:vAlign w:val="center"/>
          </w:tcPr>
          <w:p w14:paraId="40510BBB"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1,81</w:t>
            </w:r>
          </w:p>
        </w:tc>
      </w:tr>
      <w:tr w:rsidR="00A36A71" w:rsidRPr="00A36A71" w14:paraId="1A0C3CE8" w14:textId="77777777" w:rsidTr="002C6A27">
        <w:trPr>
          <w:jc w:val="center"/>
        </w:trPr>
        <w:tc>
          <w:tcPr>
            <w:tcW w:w="4361" w:type="dxa"/>
          </w:tcPr>
          <w:p w14:paraId="1556B2AA" w14:textId="77777777" w:rsidR="00A36A71" w:rsidRPr="00A36A71" w:rsidRDefault="00A36A71" w:rsidP="002C6A27">
            <w:pPr>
              <w:pStyle w:val="Odstavek"/>
              <w:spacing w:before="0"/>
              <w:ind w:firstLine="0"/>
              <w:rPr>
                <w:rFonts w:cs="Arial"/>
                <w:sz w:val="20"/>
                <w:szCs w:val="20"/>
                <w:lang w:val="sl-SI" w:eastAsia="sl-SI"/>
              </w:rPr>
            </w:pPr>
            <w:r w:rsidRPr="00A36A71">
              <w:rPr>
                <w:rFonts w:cs="Arial"/>
                <w:sz w:val="20"/>
                <w:szCs w:val="20"/>
                <w:lang w:val="sl-SI" w:eastAsia="sl-SI"/>
              </w:rPr>
              <w:t>stroški za opravljanje upravniških storitev</w:t>
            </w:r>
          </w:p>
        </w:tc>
        <w:tc>
          <w:tcPr>
            <w:tcW w:w="2660" w:type="dxa"/>
            <w:vAlign w:val="center"/>
          </w:tcPr>
          <w:p w14:paraId="3A10D404"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0,40</w:t>
            </w:r>
          </w:p>
        </w:tc>
        <w:tc>
          <w:tcPr>
            <w:tcW w:w="2268" w:type="dxa"/>
            <w:vAlign w:val="center"/>
          </w:tcPr>
          <w:p w14:paraId="32A25E66"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0,40</w:t>
            </w:r>
          </w:p>
        </w:tc>
      </w:tr>
      <w:tr w:rsidR="00A36A71" w:rsidRPr="00A36A71" w14:paraId="3849599E" w14:textId="77777777" w:rsidTr="002C6A27">
        <w:trPr>
          <w:jc w:val="center"/>
        </w:trPr>
        <w:tc>
          <w:tcPr>
            <w:tcW w:w="4361" w:type="dxa"/>
          </w:tcPr>
          <w:p w14:paraId="62895F8E" w14:textId="77777777" w:rsidR="00A36A71" w:rsidRPr="00A36A71" w:rsidRDefault="00A36A71" w:rsidP="002C6A27">
            <w:pPr>
              <w:pStyle w:val="Odstavek"/>
              <w:spacing w:before="0"/>
              <w:ind w:firstLine="0"/>
              <w:rPr>
                <w:rFonts w:cs="Arial"/>
                <w:sz w:val="20"/>
                <w:szCs w:val="20"/>
                <w:lang w:val="sl-SI" w:eastAsia="sl-SI"/>
              </w:rPr>
            </w:pPr>
            <w:r w:rsidRPr="00A36A71">
              <w:rPr>
                <w:rFonts w:cs="Arial"/>
                <w:sz w:val="20"/>
                <w:szCs w:val="20"/>
                <w:lang w:val="sl-SI" w:eastAsia="sl-SI"/>
              </w:rPr>
              <w:t>amortizacija</w:t>
            </w:r>
          </w:p>
        </w:tc>
        <w:tc>
          <w:tcPr>
            <w:tcW w:w="2660" w:type="dxa"/>
            <w:vAlign w:val="center"/>
          </w:tcPr>
          <w:p w14:paraId="4B23AB2B"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1,67</w:t>
            </w:r>
          </w:p>
        </w:tc>
        <w:tc>
          <w:tcPr>
            <w:tcW w:w="2268" w:type="dxa"/>
            <w:vAlign w:val="center"/>
          </w:tcPr>
          <w:p w14:paraId="326A6FA2"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0,97</w:t>
            </w:r>
          </w:p>
        </w:tc>
      </w:tr>
      <w:tr w:rsidR="00A36A71" w:rsidRPr="00A36A71" w14:paraId="05D614AA" w14:textId="77777777" w:rsidTr="002C6A27">
        <w:trPr>
          <w:jc w:val="center"/>
        </w:trPr>
        <w:tc>
          <w:tcPr>
            <w:tcW w:w="4361" w:type="dxa"/>
            <w:tcBorders>
              <w:bottom w:val="single" w:sz="4" w:space="0" w:color="auto"/>
            </w:tcBorders>
          </w:tcPr>
          <w:p w14:paraId="70FFCBFA" w14:textId="77777777" w:rsidR="00A36A71" w:rsidRPr="00A36A71" w:rsidRDefault="00A36A71" w:rsidP="002C6A27">
            <w:pPr>
              <w:pStyle w:val="Odstavek"/>
              <w:spacing w:before="0"/>
              <w:ind w:firstLine="0"/>
              <w:rPr>
                <w:rFonts w:cs="Arial"/>
                <w:sz w:val="20"/>
                <w:szCs w:val="20"/>
                <w:lang w:val="sl-SI" w:eastAsia="sl-SI"/>
              </w:rPr>
            </w:pPr>
            <w:r w:rsidRPr="00A36A71">
              <w:rPr>
                <w:rFonts w:cs="Arial"/>
                <w:sz w:val="20"/>
                <w:szCs w:val="20"/>
                <w:lang w:val="sl-SI" w:eastAsia="sl-SI"/>
              </w:rPr>
              <w:t>stroški financiranja</w:t>
            </w:r>
          </w:p>
        </w:tc>
        <w:tc>
          <w:tcPr>
            <w:tcW w:w="2660" w:type="dxa"/>
            <w:tcBorders>
              <w:bottom w:val="single" w:sz="4" w:space="0" w:color="auto"/>
            </w:tcBorders>
            <w:vAlign w:val="center"/>
          </w:tcPr>
          <w:p w14:paraId="20411DE6"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1,50</w:t>
            </w:r>
          </w:p>
        </w:tc>
        <w:tc>
          <w:tcPr>
            <w:tcW w:w="2268" w:type="dxa"/>
            <w:tcBorders>
              <w:bottom w:val="single" w:sz="4" w:space="0" w:color="auto"/>
            </w:tcBorders>
            <w:vAlign w:val="center"/>
          </w:tcPr>
          <w:p w14:paraId="7D24BF91"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1,50</w:t>
            </w:r>
          </w:p>
        </w:tc>
      </w:tr>
      <w:tr w:rsidR="00A36A71" w:rsidRPr="00A36A71" w14:paraId="1F80CB82" w14:textId="77777777" w:rsidTr="002C6A27">
        <w:trPr>
          <w:jc w:val="center"/>
        </w:trPr>
        <w:tc>
          <w:tcPr>
            <w:tcW w:w="4361" w:type="dxa"/>
            <w:tcBorders>
              <w:top w:val="single" w:sz="4" w:space="0" w:color="auto"/>
              <w:bottom w:val="single" w:sz="4" w:space="0" w:color="auto"/>
            </w:tcBorders>
          </w:tcPr>
          <w:p w14:paraId="00E38252" w14:textId="77777777" w:rsidR="00A36A71" w:rsidRPr="00A36A71" w:rsidRDefault="00A36A71" w:rsidP="002C6A27">
            <w:pPr>
              <w:pStyle w:val="Odstavek"/>
              <w:spacing w:before="0"/>
              <w:ind w:firstLine="0"/>
              <w:rPr>
                <w:rFonts w:cs="Arial"/>
                <w:sz w:val="20"/>
                <w:szCs w:val="20"/>
                <w:lang w:val="sl-SI" w:eastAsia="sl-SI"/>
              </w:rPr>
            </w:pPr>
            <w:r w:rsidRPr="00A36A71">
              <w:rPr>
                <w:rFonts w:cs="Arial"/>
                <w:sz w:val="20"/>
                <w:szCs w:val="20"/>
                <w:lang w:val="sl-SI" w:eastAsia="sl-SI"/>
              </w:rPr>
              <w:t>Skupaj</w:t>
            </w:r>
          </w:p>
        </w:tc>
        <w:tc>
          <w:tcPr>
            <w:tcW w:w="2660" w:type="dxa"/>
            <w:tcBorders>
              <w:top w:val="single" w:sz="4" w:space="0" w:color="auto"/>
              <w:bottom w:val="single" w:sz="4" w:space="0" w:color="auto"/>
            </w:tcBorders>
            <w:vAlign w:val="center"/>
          </w:tcPr>
          <w:p w14:paraId="330B3EFC"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4,68</w:t>
            </w:r>
          </w:p>
        </w:tc>
        <w:tc>
          <w:tcPr>
            <w:tcW w:w="2268" w:type="dxa"/>
            <w:tcBorders>
              <w:top w:val="single" w:sz="4" w:space="0" w:color="auto"/>
              <w:bottom w:val="single" w:sz="4" w:space="0" w:color="auto"/>
            </w:tcBorders>
            <w:vAlign w:val="center"/>
          </w:tcPr>
          <w:p w14:paraId="517C100E" w14:textId="77777777" w:rsidR="00A36A71" w:rsidRPr="00A36A71" w:rsidRDefault="00A36A71" w:rsidP="002C6A27">
            <w:pPr>
              <w:pStyle w:val="Odstavek"/>
              <w:spacing w:before="0"/>
              <w:ind w:firstLine="0"/>
              <w:jc w:val="center"/>
              <w:rPr>
                <w:rFonts w:cs="Arial"/>
                <w:sz w:val="20"/>
                <w:szCs w:val="20"/>
                <w:lang w:val="sl-SI" w:eastAsia="sl-SI"/>
              </w:rPr>
            </w:pPr>
            <w:r w:rsidRPr="00A36A71">
              <w:rPr>
                <w:rFonts w:cs="Arial"/>
                <w:sz w:val="20"/>
                <w:szCs w:val="20"/>
                <w:lang w:val="sl-SI" w:eastAsia="sl-SI"/>
              </w:rPr>
              <w:t>do 4,68</w:t>
            </w:r>
          </w:p>
        </w:tc>
      </w:tr>
    </w:tbl>
    <w:p w14:paraId="2B0BF0ED" w14:textId="77777777" w:rsidR="00A36A71" w:rsidRPr="00A36A71" w:rsidRDefault="00A36A71" w:rsidP="00A36A71">
      <w:pPr>
        <w:pStyle w:val="len"/>
        <w:rPr>
          <w:sz w:val="20"/>
          <w:szCs w:val="20"/>
        </w:rPr>
      </w:pPr>
      <w:r w:rsidRPr="00A36A71">
        <w:rPr>
          <w:sz w:val="20"/>
          <w:szCs w:val="20"/>
          <w:lang w:val="sl-SI"/>
        </w:rPr>
        <w:t xml:space="preserve"> 6</w:t>
      </w:r>
      <w:r w:rsidRPr="00A36A71">
        <w:rPr>
          <w:sz w:val="20"/>
          <w:szCs w:val="20"/>
        </w:rPr>
        <w:t>. člen</w:t>
      </w:r>
    </w:p>
    <w:p w14:paraId="04267E81" w14:textId="77777777" w:rsidR="00A36A71" w:rsidRPr="00A36A71" w:rsidRDefault="00A36A71" w:rsidP="00A36A71">
      <w:pPr>
        <w:pStyle w:val="Odstavek"/>
        <w:rPr>
          <w:sz w:val="20"/>
          <w:szCs w:val="20"/>
          <w:lang w:val="sl-SI"/>
        </w:rPr>
      </w:pPr>
      <w:r w:rsidRPr="00A36A71" w:rsidDel="00FC34AB">
        <w:rPr>
          <w:rFonts w:eastAsia="Calibri"/>
          <w:sz w:val="20"/>
          <w:szCs w:val="20"/>
          <w:lang w:val="sl-SI"/>
        </w:rPr>
        <w:t xml:space="preserve"> </w:t>
      </w:r>
      <w:r w:rsidRPr="00A36A71">
        <w:rPr>
          <w:rFonts w:eastAsia="Calibri"/>
          <w:sz w:val="20"/>
          <w:szCs w:val="20"/>
        </w:rPr>
        <w:t>(</w:t>
      </w:r>
      <w:r w:rsidRPr="00A36A71">
        <w:rPr>
          <w:rFonts w:eastAsia="Calibri"/>
          <w:sz w:val="20"/>
          <w:szCs w:val="20"/>
          <w:lang w:val="sl-SI"/>
        </w:rPr>
        <w:t>1</w:t>
      </w:r>
      <w:r w:rsidRPr="00A36A71">
        <w:rPr>
          <w:rFonts w:eastAsia="Calibri"/>
          <w:sz w:val="20"/>
          <w:szCs w:val="20"/>
        </w:rPr>
        <w:t xml:space="preserve">) </w:t>
      </w:r>
      <w:r w:rsidRPr="00A36A71">
        <w:rPr>
          <w:sz w:val="20"/>
          <w:szCs w:val="20"/>
        </w:rPr>
        <w:t xml:space="preserve">Stanovanju se lokacijski faktor določi </w:t>
      </w:r>
      <w:r w:rsidRPr="00A36A71">
        <w:rPr>
          <w:sz w:val="20"/>
          <w:szCs w:val="20"/>
          <w:lang w:val="sl-SI"/>
        </w:rPr>
        <w:t xml:space="preserve">glede na lokacijo zemljiške parcele, na kateri stoji stavba s tem stanovanjem, upoštevajoč model </w:t>
      </w:r>
      <w:r w:rsidRPr="00A36A71">
        <w:rPr>
          <w:sz w:val="20"/>
          <w:szCs w:val="20"/>
        </w:rPr>
        <w:t>za stavbna zemljišča</w:t>
      </w:r>
      <w:r w:rsidRPr="00A36A71">
        <w:rPr>
          <w:sz w:val="20"/>
          <w:szCs w:val="20"/>
          <w:lang w:val="sl-SI"/>
        </w:rPr>
        <w:t xml:space="preserve"> določen z </w:t>
      </w:r>
      <w:r w:rsidRPr="00A36A71">
        <w:rPr>
          <w:sz w:val="20"/>
          <w:szCs w:val="20"/>
        </w:rPr>
        <w:t>Uredb</w:t>
      </w:r>
      <w:r w:rsidRPr="00A36A71">
        <w:rPr>
          <w:sz w:val="20"/>
          <w:szCs w:val="20"/>
          <w:lang w:val="sl-SI"/>
        </w:rPr>
        <w:t>o</w:t>
      </w:r>
      <w:r w:rsidRPr="00A36A71">
        <w:rPr>
          <w:sz w:val="20"/>
          <w:szCs w:val="20"/>
        </w:rPr>
        <w:t xml:space="preserve"> o določitvi modelov vrednotenja nepremičnin (Uradni list RS, št. 22/20)</w:t>
      </w:r>
      <w:r w:rsidR="000B39A6">
        <w:rPr>
          <w:sz w:val="20"/>
          <w:szCs w:val="20"/>
          <w:lang w:val="sl-SI"/>
        </w:rPr>
        <w:t xml:space="preserve"> z datumom modela vrednotenja 1. januar 2020</w:t>
      </w:r>
      <w:r w:rsidRPr="00A36A71">
        <w:rPr>
          <w:sz w:val="20"/>
          <w:szCs w:val="20"/>
          <w:lang w:val="sl-SI"/>
        </w:rPr>
        <w:t>.</w:t>
      </w:r>
    </w:p>
    <w:p w14:paraId="53CFDC80" w14:textId="77777777" w:rsidR="00A36A71" w:rsidRPr="00A36A71" w:rsidRDefault="00A36A71" w:rsidP="00A36A71">
      <w:pPr>
        <w:pStyle w:val="Odstavek"/>
        <w:rPr>
          <w:sz w:val="20"/>
          <w:szCs w:val="20"/>
          <w:lang w:val="sl-SI"/>
        </w:rPr>
      </w:pPr>
      <w:r w:rsidRPr="00A36A71">
        <w:rPr>
          <w:sz w:val="20"/>
          <w:szCs w:val="20"/>
          <w:lang w:val="sl-SI"/>
        </w:rPr>
        <w:t xml:space="preserve">(2) Upošteva se </w:t>
      </w:r>
      <w:r w:rsidRPr="00A36A71">
        <w:rPr>
          <w:sz w:val="20"/>
          <w:szCs w:val="20"/>
        </w:rPr>
        <w:t>vrednost</w:t>
      </w:r>
      <w:r w:rsidRPr="00A36A71">
        <w:rPr>
          <w:sz w:val="20"/>
          <w:szCs w:val="20"/>
          <w:lang w:val="sl-SI"/>
        </w:rPr>
        <w:t>na</w:t>
      </w:r>
      <w:r w:rsidRPr="00A36A71">
        <w:rPr>
          <w:sz w:val="20"/>
          <w:szCs w:val="20"/>
        </w:rPr>
        <w:t xml:space="preserve"> raven</w:t>
      </w:r>
      <w:r w:rsidRPr="00A36A71">
        <w:rPr>
          <w:sz w:val="20"/>
          <w:szCs w:val="20"/>
          <w:lang w:val="sl-SI"/>
        </w:rPr>
        <w:t xml:space="preserve"> tiste</w:t>
      </w:r>
      <w:r w:rsidRPr="00A36A71">
        <w:rPr>
          <w:sz w:val="20"/>
          <w:szCs w:val="20"/>
        </w:rPr>
        <w:t xml:space="preserve"> vrednostne cone</w:t>
      </w:r>
      <w:r w:rsidRPr="00A36A71">
        <w:rPr>
          <w:sz w:val="20"/>
          <w:szCs w:val="20"/>
          <w:lang w:val="sl-SI"/>
        </w:rPr>
        <w:t xml:space="preserve"> modela za vrednotenje stavbnih zemljišč iz prejšnjega odstavka</w:t>
      </w:r>
      <w:r w:rsidRPr="00A36A71">
        <w:rPr>
          <w:sz w:val="20"/>
          <w:szCs w:val="20"/>
        </w:rPr>
        <w:t xml:space="preserve">, v kateri leži </w:t>
      </w:r>
      <w:r w:rsidRPr="00A36A71">
        <w:rPr>
          <w:sz w:val="20"/>
          <w:szCs w:val="20"/>
          <w:lang w:val="sl-SI"/>
        </w:rPr>
        <w:t xml:space="preserve">zemljiška </w:t>
      </w:r>
      <w:r w:rsidRPr="00A36A71">
        <w:rPr>
          <w:sz w:val="20"/>
          <w:szCs w:val="20"/>
        </w:rPr>
        <w:t>parcela, na kateri stoji stavba s stanovanjem</w:t>
      </w:r>
      <w:r w:rsidRPr="00A36A71">
        <w:rPr>
          <w:sz w:val="20"/>
          <w:szCs w:val="20"/>
          <w:lang w:val="sl-SI"/>
        </w:rPr>
        <w:t>.</w:t>
      </w:r>
    </w:p>
    <w:p w14:paraId="684AF8D5" w14:textId="77777777" w:rsidR="00A36A71" w:rsidRPr="00A36A71" w:rsidRDefault="00A36A71" w:rsidP="00A36A71">
      <w:pPr>
        <w:pStyle w:val="Odstavek"/>
        <w:rPr>
          <w:rFonts w:eastAsia="Calibri"/>
          <w:sz w:val="20"/>
          <w:szCs w:val="20"/>
          <w:lang w:val="sl-SI"/>
        </w:rPr>
      </w:pPr>
      <w:r w:rsidRPr="00A36A71">
        <w:rPr>
          <w:rFonts w:eastAsia="Calibri"/>
          <w:sz w:val="20"/>
          <w:szCs w:val="20"/>
          <w:lang w:val="sl-SI"/>
        </w:rPr>
        <w:t>(3) Vrednost lokacijskega faktorja je glede na vrednostno raven določena v spodnji tabeli:</w:t>
      </w:r>
    </w:p>
    <w:p w14:paraId="1F38F785" w14:textId="77777777" w:rsidR="00A36A71" w:rsidRPr="00A36A71" w:rsidRDefault="00A36A71" w:rsidP="00A36A71">
      <w:pPr>
        <w:pStyle w:val="Odstavek"/>
        <w:rPr>
          <w:rFonts w:eastAsia="Calibri"/>
          <w:sz w:val="20"/>
          <w:szCs w:val="20"/>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960"/>
      </w:tblGrid>
      <w:tr w:rsidR="00A36A71" w:rsidRPr="00A36A71" w14:paraId="5FBB9E02" w14:textId="77777777" w:rsidTr="002C6A27">
        <w:trPr>
          <w:jc w:val="center"/>
        </w:trPr>
        <w:tc>
          <w:tcPr>
            <w:tcW w:w="2285" w:type="dxa"/>
            <w:shd w:val="clear" w:color="auto" w:fill="auto"/>
            <w:vAlign w:val="center"/>
          </w:tcPr>
          <w:p w14:paraId="677C719F" w14:textId="77777777" w:rsidR="00A36A71" w:rsidRPr="00A36A71" w:rsidRDefault="00A36A71" w:rsidP="002C6A27">
            <w:pPr>
              <w:jc w:val="center"/>
              <w:rPr>
                <w:rFonts w:cs="Arial"/>
                <w:szCs w:val="20"/>
              </w:rPr>
            </w:pPr>
          </w:p>
          <w:p w14:paraId="2C1FC578" w14:textId="77777777" w:rsidR="00A36A71" w:rsidRPr="00A36A71" w:rsidRDefault="00A36A71" w:rsidP="002C6A27">
            <w:pPr>
              <w:jc w:val="center"/>
              <w:rPr>
                <w:rFonts w:cs="Arial"/>
                <w:szCs w:val="20"/>
              </w:rPr>
            </w:pPr>
            <w:r w:rsidRPr="00A36A71">
              <w:rPr>
                <w:rFonts w:cs="Arial"/>
                <w:szCs w:val="20"/>
              </w:rPr>
              <w:t>Št. vrednostne ravni</w:t>
            </w:r>
          </w:p>
          <w:p w14:paraId="59E744DD" w14:textId="77777777" w:rsidR="00A36A71" w:rsidRPr="00A36A71" w:rsidRDefault="00A36A71" w:rsidP="002C6A27">
            <w:pPr>
              <w:jc w:val="center"/>
              <w:rPr>
                <w:rFonts w:cs="Arial"/>
                <w:szCs w:val="20"/>
              </w:rPr>
            </w:pPr>
          </w:p>
        </w:tc>
        <w:tc>
          <w:tcPr>
            <w:tcW w:w="2960" w:type="dxa"/>
            <w:shd w:val="clear" w:color="auto" w:fill="auto"/>
            <w:vAlign w:val="center"/>
          </w:tcPr>
          <w:p w14:paraId="1849BBF0" w14:textId="77777777" w:rsidR="00A36A71" w:rsidRPr="00A36A71" w:rsidRDefault="00A36A71" w:rsidP="002C6A27">
            <w:pPr>
              <w:jc w:val="center"/>
              <w:rPr>
                <w:rFonts w:cs="Arial"/>
                <w:szCs w:val="20"/>
              </w:rPr>
            </w:pPr>
            <w:r w:rsidRPr="00A36A71">
              <w:rPr>
                <w:rFonts w:cs="Arial"/>
                <w:szCs w:val="20"/>
              </w:rPr>
              <w:t>Vrednost lokacijskega faktorja</w:t>
            </w:r>
          </w:p>
        </w:tc>
      </w:tr>
      <w:tr w:rsidR="00A36A71" w:rsidRPr="00A36A71" w14:paraId="234C37AF" w14:textId="77777777" w:rsidTr="002C6A27">
        <w:trPr>
          <w:jc w:val="center"/>
        </w:trPr>
        <w:tc>
          <w:tcPr>
            <w:tcW w:w="2285" w:type="dxa"/>
            <w:shd w:val="clear" w:color="auto" w:fill="auto"/>
            <w:vAlign w:val="center"/>
          </w:tcPr>
          <w:p w14:paraId="3BA998EE" w14:textId="77777777" w:rsidR="00A36A71" w:rsidRPr="00A36A71" w:rsidRDefault="00A36A71" w:rsidP="002C6A27">
            <w:pPr>
              <w:jc w:val="center"/>
              <w:rPr>
                <w:rFonts w:cs="Arial"/>
                <w:szCs w:val="20"/>
              </w:rPr>
            </w:pPr>
            <w:r w:rsidRPr="00A36A71">
              <w:rPr>
                <w:rFonts w:cs="Arial"/>
                <w:szCs w:val="20"/>
              </w:rPr>
              <w:t>1</w:t>
            </w:r>
          </w:p>
        </w:tc>
        <w:tc>
          <w:tcPr>
            <w:tcW w:w="2960" w:type="dxa"/>
            <w:shd w:val="clear" w:color="auto" w:fill="auto"/>
            <w:vAlign w:val="center"/>
          </w:tcPr>
          <w:p w14:paraId="745CB302" w14:textId="77777777" w:rsidR="00A36A71" w:rsidRPr="00A36A71" w:rsidRDefault="00A36A71" w:rsidP="002C6A27">
            <w:pPr>
              <w:jc w:val="center"/>
              <w:rPr>
                <w:rFonts w:cs="Arial"/>
                <w:color w:val="000000"/>
                <w:szCs w:val="20"/>
              </w:rPr>
            </w:pPr>
            <w:r w:rsidRPr="00A36A71">
              <w:rPr>
                <w:rFonts w:cs="Arial"/>
                <w:color w:val="000000"/>
                <w:szCs w:val="20"/>
              </w:rPr>
              <w:t>1,00</w:t>
            </w:r>
          </w:p>
        </w:tc>
      </w:tr>
      <w:tr w:rsidR="00A36A71" w:rsidRPr="00A36A71" w14:paraId="7E918695" w14:textId="77777777" w:rsidTr="002C6A27">
        <w:trPr>
          <w:jc w:val="center"/>
        </w:trPr>
        <w:tc>
          <w:tcPr>
            <w:tcW w:w="2285" w:type="dxa"/>
            <w:shd w:val="clear" w:color="auto" w:fill="auto"/>
            <w:vAlign w:val="center"/>
          </w:tcPr>
          <w:p w14:paraId="3E00F40A" w14:textId="77777777" w:rsidR="00A36A71" w:rsidRPr="00A36A71" w:rsidRDefault="00A36A71" w:rsidP="002C6A27">
            <w:pPr>
              <w:jc w:val="center"/>
              <w:rPr>
                <w:rFonts w:cs="Arial"/>
                <w:szCs w:val="20"/>
              </w:rPr>
            </w:pPr>
            <w:r w:rsidRPr="00A36A71">
              <w:rPr>
                <w:rFonts w:cs="Arial"/>
                <w:szCs w:val="20"/>
              </w:rPr>
              <w:t>2</w:t>
            </w:r>
          </w:p>
        </w:tc>
        <w:tc>
          <w:tcPr>
            <w:tcW w:w="2960" w:type="dxa"/>
            <w:shd w:val="clear" w:color="auto" w:fill="auto"/>
            <w:vAlign w:val="center"/>
          </w:tcPr>
          <w:p w14:paraId="459EF7B4" w14:textId="77777777" w:rsidR="00A36A71" w:rsidRPr="00A36A71" w:rsidRDefault="00A36A71" w:rsidP="002C6A27">
            <w:pPr>
              <w:jc w:val="center"/>
              <w:rPr>
                <w:rFonts w:cs="Arial"/>
                <w:color w:val="000000"/>
                <w:szCs w:val="20"/>
              </w:rPr>
            </w:pPr>
            <w:r w:rsidRPr="00A36A71">
              <w:rPr>
                <w:rFonts w:cs="Arial"/>
                <w:color w:val="000000"/>
                <w:szCs w:val="20"/>
              </w:rPr>
              <w:t>1,00</w:t>
            </w:r>
          </w:p>
        </w:tc>
      </w:tr>
      <w:tr w:rsidR="00A36A71" w:rsidRPr="00A36A71" w14:paraId="345C2612" w14:textId="77777777" w:rsidTr="002C6A27">
        <w:trPr>
          <w:jc w:val="center"/>
        </w:trPr>
        <w:tc>
          <w:tcPr>
            <w:tcW w:w="2285" w:type="dxa"/>
            <w:shd w:val="clear" w:color="auto" w:fill="auto"/>
            <w:vAlign w:val="center"/>
          </w:tcPr>
          <w:p w14:paraId="2FE50C4C" w14:textId="77777777" w:rsidR="00A36A71" w:rsidRPr="00A36A71" w:rsidRDefault="00A36A71" w:rsidP="002C6A27">
            <w:pPr>
              <w:jc w:val="center"/>
              <w:rPr>
                <w:rFonts w:cs="Arial"/>
                <w:szCs w:val="20"/>
              </w:rPr>
            </w:pPr>
            <w:r w:rsidRPr="00A36A71">
              <w:rPr>
                <w:rFonts w:cs="Arial"/>
                <w:szCs w:val="20"/>
              </w:rPr>
              <w:t>3</w:t>
            </w:r>
          </w:p>
        </w:tc>
        <w:tc>
          <w:tcPr>
            <w:tcW w:w="2960" w:type="dxa"/>
            <w:shd w:val="clear" w:color="auto" w:fill="auto"/>
            <w:vAlign w:val="center"/>
          </w:tcPr>
          <w:p w14:paraId="0115975B" w14:textId="77777777" w:rsidR="00A36A71" w:rsidRPr="00A36A71" w:rsidRDefault="00A36A71" w:rsidP="002C6A27">
            <w:pPr>
              <w:jc w:val="center"/>
              <w:rPr>
                <w:rFonts w:cs="Arial"/>
                <w:color w:val="000000"/>
                <w:szCs w:val="20"/>
              </w:rPr>
            </w:pPr>
            <w:r w:rsidRPr="00A36A71">
              <w:rPr>
                <w:rFonts w:cs="Arial"/>
                <w:color w:val="000000"/>
                <w:szCs w:val="20"/>
              </w:rPr>
              <w:t>1,01</w:t>
            </w:r>
          </w:p>
        </w:tc>
      </w:tr>
      <w:tr w:rsidR="00A36A71" w:rsidRPr="00A36A71" w14:paraId="2BB5885E" w14:textId="77777777" w:rsidTr="002C6A27">
        <w:trPr>
          <w:jc w:val="center"/>
        </w:trPr>
        <w:tc>
          <w:tcPr>
            <w:tcW w:w="2285" w:type="dxa"/>
            <w:shd w:val="clear" w:color="auto" w:fill="auto"/>
            <w:vAlign w:val="center"/>
          </w:tcPr>
          <w:p w14:paraId="4E2D5A3B" w14:textId="77777777" w:rsidR="00A36A71" w:rsidRPr="00A36A71" w:rsidRDefault="00A36A71" w:rsidP="002C6A27">
            <w:pPr>
              <w:jc w:val="center"/>
              <w:rPr>
                <w:rFonts w:cs="Arial"/>
                <w:szCs w:val="20"/>
              </w:rPr>
            </w:pPr>
            <w:r w:rsidRPr="00A36A71">
              <w:rPr>
                <w:rFonts w:cs="Arial"/>
                <w:szCs w:val="20"/>
              </w:rPr>
              <w:t>4</w:t>
            </w:r>
          </w:p>
        </w:tc>
        <w:tc>
          <w:tcPr>
            <w:tcW w:w="2960" w:type="dxa"/>
            <w:shd w:val="clear" w:color="auto" w:fill="auto"/>
            <w:vAlign w:val="center"/>
          </w:tcPr>
          <w:p w14:paraId="3CEB58AC" w14:textId="77777777" w:rsidR="00A36A71" w:rsidRPr="00A36A71" w:rsidRDefault="00A36A71" w:rsidP="002C6A27">
            <w:pPr>
              <w:jc w:val="center"/>
              <w:rPr>
                <w:rFonts w:cs="Arial"/>
                <w:color w:val="000000"/>
                <w:szCs w:val="20"/>
              </w:rPr>
            </w:pPr>
            <w:r w:rsidRPr="00A36A71">
              <w:rPr>
                <w:rFonts w:cs="Arial"/>
                <w:color w:val="000000"/>
                <w:szCs w:val="20"/>
              </w:rPr>
              <w:t>1,01</w:t>
            </w:r>
          </w:p>
        </w:tc>
      </w:tr>
      <w:tr w:rsidR="00A36A71" w:rsidRPr="00A36A71" w14:paraId="41A45208" w14:textId="77777777" w:rsidTr="002C6A27">
        <w:trPr>
          <w:jc w:val="center"/>
        </w:trPr>
        <w:tc>
          <w:tcPr>
            <w:tcW w:w="2285" w:type="dxa"/>
            <w:shd w:val="clear" w:color="auto" w:fill="auto"/>
            <w:vAlign w:val="center"/>
          </w:tcPr>
          <w:p w14:paraId="6E3D355E" w14:textId="77777777" w:rsidR="00A36A71" w:rsidRPr="00A36A71" w:rsidRDefault="00A36A71" w:rsidP="002C6A27">
            <w:pPr>
              <w:jc w:val="center"/>
              <w:rPr>
                <w:rFonts w:cs="Arial"/>
                <w:szCs w:val="20"/>
              </w:rPr>
            </w:pPr>
            <w:r w:rsidRPr="00A36A71">
              <w:rPr>
                <w:rFonts w:cs="Arial"/>
                <w:szCs w:val="20"/>
              </w:rPr>
              <w:t>5</w:t>
            </w:r>
          </w:p>
        </w:tc>
        <w:tc>
          <w:tcPr>
            <w:tcW w:w="2960" w:type="dxa"/>
            <w:shd w:val="clear" w:color="auto" w:fill="auto"/>
            <w:vAlign w:val="center"/>
          </w:tcPr>
          <w:p w14:paraId="3D355255" w14:textId="77777777" w:rsidR="00A36A71" w:rsidRPr="00A36A71" w:rsidRDefault="00A36A71" w:rsidP="002C6A27">
            <w:pPr>
              <w:jc w:val="center"/>
              <w:rPr>
                <w:rFonts w:cs="Arial"/>
                <w:color w:val="000000"/>
                <w:szCs w:val="20"/>
              </w:rPr>
            </w:pPr>
            <w:r w:rsidRPr="00A36A71">
              <w:rPr>
                <w:rFonts w:cs="Arial"/>
                <w:color w:val="000000"/>
                <w:szCs w:val="20"/>
              </w:rPr>
              <w:t>1,01</w:t>
            </w:r>
          </w:p>
        </w:tc>
      </w:tr>
      <w:tr w:rsidR="00A36A71" w:rsidRPr="00A36A71" w14:paraId="5B2D7773" w14:textId="77777777" w:rsidTr="002C6A27">
        <w:trPr>
          <w:jc w:val="center"/>
        </w:trPr>
        <w:tc>
          <w:tcPr>
            <w:tcW w:w="2285" w:type="dxa"/>
            <w:shd w:val="clear" w:color="auto" w:fill="auto"/>
            <w:vAlign w:val="center"/>
          </w:tcPr>
          <w:p w14:paraId="57EBDDDD" w14:textId="77777777" w:rsidR="00A36A71" w:rsidRPr="00A36A71" w:rsidRDefault="00A36A71" w:rsidP="002C6A27">
            <w:pPr>
              <w:jc w:val="center"/>
              <w:rPr>
                <w:rFonts w:cs="Arial"/>
                <w:szCs w:val="20"/>
              </w:rPr>
            </w:pPr>
            <w:r w:rsidRPr="00A36A71">
              <w:rPr>
                <w:rFonts w:cs="Arial"/>
                <w:szCs w:val="20"/>
              </w:rPr>
              <w:t>6</w:t>
            </w:r>
          </w:p>
        </w:tc>
        <w:tc>
          <w:tcPr>
            <w:tcW w:w="2960" w:type="dxa"/>
            <w:shd w:val="clear" w:color="auto" w:fill="auto"/>
            <w:vAlign w:val="center"/>
          </w:tcPr>
          <w:p w14:paraId="0EAB42C7" w14:textId="77777777" w:rsidR="00A36A71" w:rsidRPr="00A36A71" w:rsidRDefault="00A36A71" w:rsidP="002C6A27">
            <w:pPr>
              <w:jc w:val="center"/>
              <w:rPr>
                <w:rFonts w:cs="Arial"/>
                <w:color w:val="000000"/>
                <w:szCs w:val="20"/>
              </w:rPr>
            </w:pPr>
            <w:r w:rsidRPr="00A36A71">
              <w:rPr>
                <w:rFonts w:cs="Arial"/>
                <w:color w:val="000000"/>
                <w:szCs w:val="20"/>
              </w:rPr>
              <w:t>1,01</w:t>
            </w:r>
          </w:p>
        </w:tc>
      </w:tr>
      <w:tr w:rsidR="00A36A71" w:rsidRPr="00A36A71" w14:paraId="472ADC17" w14:textId="77777777" w:rsidTr="002C6A27">
        <w:trPr>
          <w:jc w:val="center"/>
        </w:trPr>
        <w:tc>
          <w:tcPr>
            <w:tcW w:w="2285" w:type="dxa"/>
            <w:shd w:val="clear" w:color="auto" w:fill="auto"/>
            <w:vAlign w:val="center"/>
          </w:tcPr>
          <w:p w14:paraId="7A4C6897" w14:textId="77777777" w:rsidR="00A36A71" w:rsidRPr="00A36A71" w:rsidRDefault="00A36A71" w:rsidP="002C6A27">
            <w:pPr>
              <w:jc w:val="center"/>
              <w:rPr>
                <w:rFonts w:cs="Arial"/>
                <w:szCs w:val="20"/>
              </w:rPr>
            </w:pPr>
            <w:r w:rsidRPr="00A36A71">
              <w:rPr>
                <w:rFonts w:cs="Arial"/>
                <w:szCs w:val="20"/>
              </w:rPr>
              <w:t>7</w:t>
            </w:r>
          </w:p>
        </w:tc>
        <w:tc>
          <w:tcPr>
            <w:tcW w:w="2960" w:type="dxa"/>
            <w:shd w:val="clear" w:color="auto" w:fill="auto"/>
            <w:vAlign w:val="center"/>
          </w:tcPr>
          <w:p w14:paraId="605565AF" w14:textId="77777777" w:rsidR="00A36A71" w:rsidRPr="00A36A71" w:rsidRDefault="00A36A71" w:rsidP="002C6A27">
            <w:pPr>
              <w:jc w:val="center"/>
              <w:rPr>
                <w:rFonts w:cs="Arial"/>
                <w:color w:val="000000"/>
                <w:szCs w:val="20"/>
              </w:rPr>
            </w:pPr>
            <w:r w:rsidRPr="00A36A71">
              <w:rPr>
                <w:rFonts w:cs="Arial"/>
                <w:color w:val="000000"/>
                <w:szCs w:val="20"/>
              </w:rPr>
              <w:t>1,02</w:t>
            </w:r>
          </w:p>
        </w:tc>
      </w:tr>
      <w:tr w:rsidR="00A36A71" w:rsidRPr="00A36A71" w14:paraId="1106E1BF" w14:textId="77777777" w:rsidTr="002C6A27">
        <w:trPr>
          <w:jc w:val="center"/>
        </w:trPr>
        <w:tc>
          <w:tcPr>
            <w:tcW w:w="2285" w:type="dxa"/>
            <w:shd w:val="clear" w:color="auto" w:fill="auto"/>
            <w:vAlign w:val="center"/>
          </w:tcPr>
          <w:p w14:paraId="524A3F50" w14:textId="77777777" w:rsidR="00A36A71" w:rsidRPr="00A36A71" w:rsidRDefault="00A36A71" w:rsidP="002C6A27">
            <w:pPr>
              <w:jc w:val="center"/>
              <w:rPr>
                <w:rFonts w:cs="Arial"/>
                <w:szCs w:val="20"/>
              </w:rPr>
            </w:pPr>
            <w:r w:rsidRPr="00A36A71">
              <w:rPr>
                <w:rFonts w:cs="Arial"/>
                <w:szCs w:val="20"/>
              </w:rPr>
              <w:t>8</w:t>
            </w:r>
          </w:p>
        </w:tc>
        <w:tc>
          <w:tcPr>
            <w:tcW w:w="2960" w:type="dxa"/>
            <w:shd w:val="clear" w:color="auto" w:fill="auto"/>
            <w:vAlign w:val="center"/>
          </w:tcPr>
          <w:p w14:paraId="056BBB8E" w14:textId="77777777" w:rsidR="00A36A71" w:rsidRPr="00A36A71" w:rsidRDefault="00A36A71" w:rsidP="002C6A27">
            <w:pPr>
              <w:jc w:val="center"/>
              <w:rPr>
                <w:rFonts w:cs="Arial"/>
                <w:color w:val="000000"/>
                <w:szCs w:val="20"/>
              </w:rPr>
            </w:pPr>
            <w:r w:rsidRPr="00A36A71">
              <w:rPr>
                <w:rFonts w:cs="Arial"/>
                <w:color w:val="000000"/>
                <w:szCs w:val="20"/>
              </w:rPr>
              <w:t>1,02</w:t>
            </w:r>
          </w:p>
        </w:tc>
      </w:tr>
      <w:tr w:rsidR="00A36A71" w:rsidRPr="00A36A71" w14:paraId="4F458768" w14:textId="77777777" w:rsidTr="002C6A27">
        <w:trPr>
          <w:jc w:val="center"/>
        </w:trPr>
        <w:tc>
          <w:tcPr>
            <w:tcW w:w="2285" w:type="dxa"/>
            <w:shd w:val="clear" w:color="auto" w:fill="auto"/>
            <w:vAlign w:val="center"/>
          </w:tcPr>
          <w:p w14:paraId="500F27D7" w14:textId="77777777" w:rsidR="00A36A71" w:rsidRPr="00A36A71" w:rsidRDefault="00A36A71" w:rsidP="002C6A27">
            <w:pPr>
              <w:jc w:val="center"/>
              <w:rPr>
                <w:rFonts w:cs="Arial"/>
                <w:szCs w:val="20"/>
              </w:rPr>
            </w:pPr>
            <w:r w:rsidRPr="00A36A71">
              <w:rPr>
                <w:rFonts w:cs="Arial"/>
                <w:szCs w:val="20"/>
              </w:rPr>
              <w:t>9</w:t>
            </w:r>
          </w:p>
        </w:tc>
        <w:tc>
          <w:tcPr>
            <w:tcW w:w="2960" w:type="dxa"/>
            <w:shd w:val="clear" w:color="auto" w:fill="auto"/>
            <w:vAlign w:val="center"/>
          </w:tcPr>
          <w:p w14:paraId="70783992" w14:textId="77777777" w:rsidR="00A36A71" w:rsidRPr="00A36A71" w:rsidRDefault="00A36A71" w:rsidP="002C6A27">
            <w:pPr>
              <w:jc w:val="center"/>
              <w:rPr>
                <w:rFonts w:cs="Arial"/>
                <w:color w:val="000000"/>
                <w:szCs w:val="20"/>
              </w:rPr>
            </w:pPr>
            <w:r w:rsidRPr="00A36A71">
              <w:rPr>
                <w:rFonts w:cs="Arial"/>
                <w:color w:val="000000"/>
                <w:szCs w:val="20"/>
              </w:rPr>
              <w:t>1,03</w:t>
            </w:r>
          </w:p>
        </w:tc>
      </w:tr>
      <w:tr w:rsidR="00A36A71" w:rsidRPr="00A36A71" w14:paraId="5E43FC8D" w14:textId="77777777" w:rsidTr="002C6A27">
        <w:trPr>
          <w:jc w:val="center"/>
        </w:trPr>
        <w:tc>
          <w:tcPr>
            <w:tcW w:w="2285" w:type="dxa"/>
            <w:shd w:val="clear" w:color="auto" w:fill="auto"/>
            <w:vAlign w:val="center"/>
          </w:tcPr>
          <w:p w14:paraId="396873E1" w14:textId="77777777" w:rsidR="00A36A71" w:rsidRPr="00A36A71" w:rsidRDefault="00A36A71" w:rsidP="002C6A27">
            <w:pPr>
              <w:jc w:val="center"/>
              <w:rPr>
                <w:rFonts w:cs="Arial"/>
                <w:szCs w:val="20"/>
              </w:rPr>
            </w:pPr>
            <w:r w:rsidRPr="00A36A71">
              <w:rPr>
                <w:rFonts w:cs="Arial"/>
                <w:szCs w:val="20"/>
              </w:rPr>
              <w:t>10</w:t>
            </w:r>
          </w:p>
        </w:tc>
        <w:tc>
          <w:tcPr>
            <w:tcW w:w="2960" w:type="dxa"/>
            <w:shd w:val="clear" w:color="auto" w:fill="auto"/>
            <w:vAlign w:val="center"/>
          </w:tcPr>
          <w:p w14:paraId="77324312" w14:textId="77777777" w:rsidR="00A36A71" w:rsidRPr="00A36A71" w:rsidRDefault="00A36A71" w:rsidP="002C6A27">
            <w:pPr>
              <w:jc w:val="center"/>
              <w:rPr>
                <w:rFonts w:cs="Arial"/>
                <w:color w:val="000000"/>
                <w:szCs w:val="20"/>
              </w:rPr>
            </w:pPr>
            <w:r w:rsidRPr="00A36A71">
              <w:rPr>
                <w:rFonts w:cs="Arial"/>
                <w:color w:val="000000"/>
                <w:szCs w:val="20"/>
              </w:rPr>
              <w:t>1,03</w:t>
            </w:r>
          </w:p>
        </w:tc>
      </w:tr>
      <w:tr w:rsidR="00A36A71" w:rsidRPr="00A36A71" w14:paraId="6E8722AA" w14:textId="77777777" w:rsidTr="002C6A27">
        <w:trPr>
          <w:jc w:val="center"/>
        </w:trPr>
        <w:tc>
          <w:tcPr>
            <w:tcW w:w="2285" w:type="dxa"/>
            <w:shd w:val="clear" w:color="auto" w:fill="auto"/>
            <w:vAlign w:val="center"/>
          </w:tcPr>
          <w:p w14:paraId="713CA687" w14:textId="77777777" w:rsidR="00A36A71" w:rsidRPr="00A36A71" w:rsidRDefault="00A36A71" w:rsidP="002C6A27">
            <w:pPr>
              <w:jc w:val="center"/>
              <w:rPr>
                <w:rFonts w:cs="Arial"/>
                <w:szCs w:val="20"/>
              </w:rPr>
            </w:pPr>
            <w:r w:rsidRPr="00A36A71">
              <w:rPr>
                <w:rFonts w:cs="Arial"/>
                <w:szCs w:val="20"/>
              </w:rPr>
              <w:t>11</w:t>
            </w:r>
          </w:p>
        </w:tc>
        <w:tc>
          <w:tcPr>
            <w:tcW w:w="2960" w:type="dxa"/>
            <w:shd w:val="clear" w:color="auto" w:fill="auto"/>
            <w:vAlign w:val="center"/>
          </w:tcPr>
          <w:p w14:paraId="3ECD8C2B" w14:textId="77777777" w:rsidR="00A36A71" w:rsidRPr="00A36A71" w:rsidRDefault="00A36A71" w:rsidP="002C6A27">
            <w:pPr>
              <w:jc w:val="center"/>
              <w:rPr>
                <w:rFonts w:cs="Arial"/>
                <w:color w:val="000000"/>
                <w:szCs w:val="20"/>
              </w:rPr>
            </w:pPr>
            <w:r w:rsidRPr="00A36A71">
              <w:rPr>
                <w:rFonts w:cs="Arial"/>
                <w:color w:val="000000"/>
                <w:szCs w:val="20"/>
              </w:rPr>
              <w:t>1,04</w:t>
            </w:r>
          </w:p>
        </w:tc>
      </w:tr>
      <w:tr w:rsidR="00A36A71" w:rsidRPr="00A36A71" w14:paraId="50D8E3AB" w14:textId="77777777" w:rsidTr="002C6A27">
        <w:trPr>
          <w:jc w:val="center"/>
        </w:trPr>
        <w:tc>
          <w:tcPr>
            <w:tcW w:w="2285" w:type="dxa"/>
            <w:shd w:val="clear" w:color="auto" w:fill="auto"/>
            <w:vAlign w:val="center"/>
          </w:tcPr>
          <w:p w14:paraId="5149B3D1" w14:textId="77777777" w:rsidR="00A36A71" w:rsidRPr="00A36A71" w:rsidRDefault="00A36A71" w:rsidP="002C6A27">
            <w:pPr>
              <w:jc w:val="center"/>
              <w:rPr>
                <w:rFonts w:cs="Arial"/>
                <w:szCs w:val="20"/>
              </w:rPr>
            </w:pPr>
            <w:r w:rsidRPr="00A36A71">
              <w:rPr>
                <w:rFonts w:cs="Arial"/>
                <w:szCs w:val="20"/>
              </w:rPr>
              <w:t>12</w:t>
            </w:r>
          </w:p>
        </w:tc>
        <w:tc>
          <w:tcPr>
            <w:tcW w:w="2960" w:type="dxa"/>
            <w:shd w:val="clear" w:color="auto" w:fill="auto"/>
            <w:vAlign w:val="center"/>
          </w:tcPr>
          <w:p w14:paraId="13842DAC" w14:textId="77777777" w:rsidR="00A36A71" w:rsidRPr="00A36A71" w:rsidRDefault="00A36A71" w:rsidP="002C6A27">
            <w:pPr>
              <w:jc w:val="center"/>
              <w:rPr>
                <w:rFonts w:cs="Arial"/>
                <w:color w:val="000000"/>
                <w:szCs w:val="20"/>
              </w:rPr>
            </w:pPr>
            <w:r w:rsidRPr="00A36A71">
              <w:rPr>
                <w:rFonts w:cs="Arial"/>
                <w:color w:val="000000"/>
                <w:szCs w:val="20"/>
              </w:rPr>
              <w:t>1,05</w:t>
            </w:r>
          </w:p>
        </w:tc>
      </w:tr>
      <w:tr w:rsidR="00A36A71" w:rsidRPr="00A36A71" w14:paraId="177567A0" w14:textId="77777777" w:rsidTr="002C6A27">
        <w:trPr>
          <w:jc w:val="center"/>
        </w:trPr>
        <w:tc>
          <w:tcPr>
            <w:tcW w:w="2285" w:type="dxa"/>
            <w:shd w:val="clear" w:color="auto" w:fill="auto"/>
            <w:vAlign w:val="center"/>
          </w:tcPr>
          <w:p w14:paraId="2BA2FC33" w14:textId="77777777" w:rsidR="00A36A71" w:rsidRPr="00A36A71" w:rsidRDefault="00A36A71" w:rsidP="002C6A27">
            <w:pPr>
              <w:jc w:val="center"/>
              <w:rPr>
                <w:rFonts w:cs="Arial"/>
                <w:szCs w:val="20"/>
              </w:rPr>
            </w:pPr>
            <w:r w:rsidRPr="00A36A71">
              <w:rPr>
                <w:rFonts w:cs="Arial"/>
                <w:szCs w:val="20"/>
              </w:rPr>
              <w:t>13</w:t>
            </w:r>
          </w:p>
        </w:tc>
        <w:tc>
          <w:tcPr>
            <w:tcW w:w="2960" w:type="dxa"/>
            <w:shd w:val="clear" w:color="auto" w:fill="auto"/>
            <w:vAlign w:val="center"/>
          </w:tcPr>
          <w:p w14:paraId="26B20BA4" w14:textId="77777777" w:rsidR="00A36A71" w:rsidRPr="00A36A71" w:rsidRDefault="00A36A71" w:rsidP="002C6A27">
            <w:pPr>
              <w:jc w:val="center"/>
              <w:rPr>
                <w:rFonts w:cs="Arial"/>
                <w:color w:val="000000"/>
                <w:szCs w:val="20"/>
              </w:rPr>
            </w:pPr>
            <w:r w:rsidRPr="00A36A71">
              <w:rPr>
                <w:rFonts w:cs="Arial"/>
                <w:color w:val="000000"/>
                <w:szCs w:val="20"/>
              </w:rPr>
              <w:t>1,05</w:t>
            </w:r>
          </w:p>
        </w:tc>
      </w:tr>
      <w:tr w:rsidR="00A36A71" w:rsidRPr="00A36A71" w14:paraId="1548E4B7" w14:textId="77777777" w:rsidTr="002C6A27">
        <w:trPr>
          <w:jc w:val="center"/>
        </w:trPr>
        <w:tc>
          <w:tcPr>
            <w:tcW w:w="2285" w:type="dxa"/>
            <w:shd w:val="clear" w:color="auto" w:fill="auto"/>
            <w:vAlign w:val="center"/>
          </w:tcPr>
          <w:p w14:paraId="0E151ED3" w14:textId="77777777" w:rsidR="00A36A71" w:rsidRPr="00A36A71" w:rsidRDefault="00A36A71" w:rsidP="002C6A27">
            <w:pPr>
              <w:jc w:val="center"/>
              <w:rPr>
                <w:rFonts w:cs="Arial"/>
                <w:szCs w:val="20"/>
              </w:rPr>
            </w:pPr>
            <w:r w:rsidRPr="00A36A71">
              <w:rPr>
                <w:rFonts w:cs="Arial"/>
                <w:szCs w:val="20"/>
              </w:rPr>
              <w:t>14</w:t>
            </w:r>
          </w:p>
        </w:tc>
        <w:tc>
          <w:tcPr>
            <w:tcW w:w="2960" w:type="dxa"/>
            <w:shd w:val="clear" w:color="auto" w:fill="auto"/>
            <w:vAlign w:val="center"/>
          </w:tcPr>
          <w:p w14:paraId="5B4C32E2" w14:textId="77777777" w:rsidR="00A36A71" w:rsidRPr="00A36A71" w:rsidRDefault="00A36A71" w:rsidP="002C6A27">
            <w:pPr>
              <w:jc w:val="center"/>
              <w:rPr>
                <w:rFonts w:cs="Arial"/>
                <w:color w:val="000000"/>
                <w:szCs w:val="20"/>
              </w:rPr>
            </w:pPr>
            <w:r w:rsidRPr="00A36A71">
              <w:rPr>
                <w:rFonts w:cs="Arial"/>
                <w:color w:val="000000"/>
                <w:szCs w:val="20"/>
              </w:rPr>
              <w:t>1,06</w:t>
            </w:r>
          </w:p>
        </w:tc>
      </w:tr>
      <w:tr w:rsidR="00A36A71" w:rsidRPr="00A36A71" w14:paraId="30C884D0" w14:textId="77777777" w:rsidTr="002C6A27">
        <w:trPr>
          <w:jc w:val="center"/>
        </w:trPr>
        <w:tc>
          <w:tcPr>
            <w:tcW w:w="2285" w:type="dxa"/>
            <w:shd w:val="clear" w:color="auto" w:fill="auto"/>
            <w:vAlign w:val="center"/>
          </w:tcPr>
          <w:p w14:paraId="287B0770" w14:textId="77777777" w:rsidR="00A36A71" w:rsidRPr="00A36A71" w:rsidRDefault="00A36A71" w:rsidP="002C6A27">
            <w:pPr>
              <w:jc w:val="center"/>
              <w:rPr>
                <w:rFonts w:cs="Arial"/>
                <w:szCs w:val="20"/>
              </w:rPr>
            </w:pPr>
            <w:r w:rsidRPr="00A36A71">
              <w:rPr>
                <w:rFonts w:cs="Arial"/>
                <w:szCs w:val="20"/>
              </w:rPr>
              <w:t>15</w:t>
            </w:r>
          </w:p>
        </w:tc>
        <w:tc>
          <w:tcPr>
            <w:tcW w:w="2960" w:type="dxa"/>
            <w:shd w:val="clear" w:color="auto" w:fill="auto"/>
            <w:vAlign w:val="center"/>
          </w:tcPr>
          <w:p w14:paraId="12D92E0E" w14:textId="77777777" w:rsidR="00A36A71" w:rsidRPr="00A36A71" w:rsidRDefault="00A36A71" w:rsidP="002C6A27">
            <w:pPr>
              <w:jc w:val="center"/>
              <w:rPr>
                <w:rFonts w:cs="Arial"/>
                <w:color w:val="000000"/>
                <w:szCs w:val="20"/>
              </w:rPr>
            </w:pPr>
            <w:r w:rsidRPr="00A36A71">
              <w:rPr>
                <w:rFonts w:cs="Arial"/>
                <w:color w:val="000000"/>
                <w:szCs w:val="20"/>
              </w:rPr>
              <w:t>1,08</w:t>
            </w:r>
          </w:p>
        </w:tc>
      </w:tr>
      <w:tr w:rsidR="00A36A71" w:rsidRPr="00A36A71" w14:paraId="2FB9AE7F" w14:textId="77777777" w:rsidTr="002C6A27">
        <w:trPr>
          <w:jc w:val="center"/>
        </w:trPr>
        <w:tc>
          <w:tcPr>
            <w:tcW w:w="2285" w:type="dxa"/>
            <w:shd w:val="clear" w:color="auto" w:fill="auto"/>
            <w:vAlign w:val="center"/>
          </w:tcPr>
          <w:p w14:paraId="179BDC1B" w14:textId="77777777" w:rsidR="00A36A71" w:rsidRPr="00A36A71" w:rsidRDefault="00A36A71" w:rsidP="002C6A27">
            <w:pPr>
              <w:jc w:val="center"/>
              <w:rPr>
                <w:rFonts w:cs="Arial"/>
                <w:szCs w:val="20"/>
              </w:rPr>
            </w:pPr>
            <w:r w:rsidRPr="00A36A71">
              <w:rPr>
                <w:rFonts w:cs="Arial"/>
                <w:szCs w:val="20"/>
              </w:rPr>
              <w:t>16</w:t>
            </w:r>
          </w:p>
        </w:tc>
        <w:tc>
          <w:tcPr>
            <w:tcW w:w="2960" w:type="dxa"/>
            <w:shd w:val="clear" w:color="auto" w:fill="auto"/>
            <w:vAlign w:val="center"/>
          </w:tcPr>
          <w:p w14:paraId="5157C8A8" w14:textId="77777777" w:rsidR="00A36A71" w:rsidRPr="00A36A71" w:rsidRDefault="00A36A71" w:rsidP="002C6A27">
            <w:pPr>
              <w:jc w:val="center"/>
              <w:rPr>
                <w:rFonts w:cs="Arial"/>
                <w:color w:val="000000"/>
                <w:szCs w:val="20"/>
              </w:rPr>
            </w:pPr>
            <w:r w:rsidRPr="00A36A71">
              <w:rPr>
                <w:rFonts w:cs="Arial"/>
                <w:color w:val="000000"/>
                <w:szCs w:val="20"/>
              </w:rPr>
              <w:t>1,09</w:t>
            </w:r>
          </w:p>
        </w:tc>
      </w:tr>
      <w:tr w:rsidR="00A36A71" w:rsidRPr="00A36A71" w14:paraId="5ABB4CF1" w14:textId="77777777" w:rsidTr="002C6A27">
        <w:trPr>
          <w:jc w:val="center"/>
        </w:trPr>
        <w:tc>
          <w:tcPr>
            <w:tcW w:w="2285" w:type="dxa"/>
            <w:shd w:val="clear" w:color="auto" w:fill="auto"/>
            <w:vAlign w:val="center"/>
          </w:tcPr>
          <w:p w14:paraId="01681356" w14:textId="77777777" w:rsidR="00A36A71" w:rsidRPr="00A36A71" w:rsidRDefault="00A36A71" w:rsidP="002C6A27">
            <w:pPr>
              <w:jc w:val="center"/>
              <w:rPr>
                <w:rFonts w:cs="Arial"/>
                <w:szCs w:val="20"/>
              </w:rPr>
            </w:pPr>
            <w:r w:rsidRPr="00A36A71">
              <w:rPr>
                <w:rFonts w:cs="Arial"/>
                <w:szCs w:val="20"/>
              </w:rPr>
              <w:t>17</w:t>
            </w:r>
          </w:p>
        </w:tc>
        <w:tc>
          <w:tcPr>
            <w:tcW w:w="2960" w:type="dxa"/>
            <w:shd w:val="clear" w:color="auto" w:fill="auto"/>
            <w:vAlign w:val="center"/>
          </w:tcPr>
          <w:p w14:paraId="10BA6B83" w14:textId="77777777" w:rsidR="00A36A71" w:rsidRPr="00A36A71" w:rsidRDefault="00A36A71" w:rsidP="002C6A27">
            <w:pPr>
              <w:jc w:val="center"/>
              <w:rPr>
                <w:rFonts w:cs="Arial"/>
                <w:color w:val="000000"/>
                <w:szCs w:val="20"/>
              </w:rPr>
            </w:pPr>
            <w:r w:rsidRPr="00A36A71">
              <w:rPr>
                <w:rFonts w:cs="Arial"/>
                <w:color w:val="000000"/>
                <w:szCs w:val="20"/>
              </w:rPr>
              <w:t>1,11</w:t>
            </w:r>
          </w:p>
        </w:tc>
      </w:tr>
      <w:tr w:rsidR="00A36A71" w:rsidRPr="00A36A71" w14:paraId="78B49987" w14:textId="77777777" w:rsidTr="002C6A27">
        <w:trPr>
          <w:jc w:val="center"/>
        </w:trPr>
        <w:tc>
          <w:tcPr>
            <w:tcW w:w="2285" w:type="dxa"/>
            <w:shd w:val="clear" w:color="auto" w:fill="auto"/>
            <w:vAlign w:val="center"/>
          </w:tcPr>
          <w:p w14:paraId="5E83A269" w14:textId="77777777" w:rsidR="00A36A71" w:rsidRPr="00A36A71" w:rsidRDefault="00A36A71" w:rsidP="002C6A27">
            <w:pPr>
              <w:jc w:val="center"/>
              <w:rPr>
                <w:rFonts w:cs="Arial"/>
                <w:szCs w:val="20"/>
              </w:rPr>
            </w:pPr>
            <w:r w:rsidRPr="00A36A71">
              <w:rPr>
                <w:rFonts w:cs="Arial"/>
                <w:szCs w:val="20"/>
              </w:rPr>
              <w:t>18</w:t>
            </w:r>
          </w:p>
        </w:tc>
        <w:tc>
          <w:tcPr>
            <w:tcW w:w="2960" w:type="dxa"/>
            <w:shd w:val="clear" w:color="auto" w:fill="auto"/>
            <w:vAlign w:val="center"/>
          </w:tcPr>
          <w:p w14:paraId="7AFA8B08" w14:textId="77777777" w:rsidR="00A36A71" w:rsidRPr="00A36A71" w:rsidRDefault="00A36A71" w:rsidP="002C6A27">
            <w:pPr>
              <w:jc w:val="center"/>
              <w:rPr>
                <w:rFonts w:cs="Arial"/>
                <w:color w:val="000000"/>
                <w:szCs w:val="20"/>
              </w:rPr>
            </w:pPr>
            <w:r w:rsidRPr="00A36A71">
              <w:rPr>
                <w:rFonts w:cs="Arial"/>
                <w:color w:val="000000"/>
                <w:szCs w:val="20"/>
              </w:rPr>
              <w:t>1,13</w:t>
            </w:r>
          </w:p>
        </w:tc>
      </w:tr>
      <w:tr w:rsidR="00A36A71" w:rsidRPr="00A36A71" w14:paraId="2E711D67" w14:textId="77777777" w:rsidTr="002C6A27">
        <w:trPr>
          <w:jc w:val="center"/>
        </w:trPr>
        <w:tc>
          <w:tcPr>
            <w:tcW w:w="2285" w:type="dxa"/>
            <w:shd w:val="clear" w:color="auto" w:fill="auto"/>
            <w:vAlign w:val="center"/>
          </w:tcPr>
          <w:p w14:paraId="4372D856" w14:textId="77777777" w:rsidR="00A36A71" w:rsidRPr="00A36A71" w:rsidRDefault="00A36A71" w:rsidP="002C6A27">
            <w:pPr>
              <w:jc w:val="center"/>
              <w:rPr>
                <w:rFonts w:cs="Arial"/>
                <w:szCs w:val="20"/>
              </w:rPr>
            </w:pPr>
            <w:r w:rsidRPr="00A36A71">
              <w:rPr>
                <w:rFonts w:cs="Arial"/>
                <w:szCs w:val="20"/>
              </w:rPr>
              <w:t>19</w:t>
            </w:r>
          </w:p>
        </w:tc>
        <w:tc>
          <w:tcPr>
            <w:tcW w:w="2960" w:type="dxa"/>
            <w:shd w:val="clear" w:color="auto" w:fill="auto"/>
            <w:vAlign w:val="center"/>
          </w:tcPr>
          <w:p w14:paraId="27E244AB" w14:textId="77777777" w:rsidR="00A36A71" w:rsidRPr="00A36A71" w:rsidRDefault="00A36A71" w:rsidP="002C6A27">
            <w:pPr>
              <w:jc w:val="center"/>
              <w:rPr>
                <w:rFonts w:cs="Arial"/>
                <w:color w:val="000000"/>
                <w:szCs w:val="20"/>
              </w:rPr>
            </w:pPr>
            <w:r w:rsidRPr="00A36A71">
              <w:rPr>
                <w:rFonts w:cs="Arial"/>
                <w:color w:val="000000"/>
                <w:szCs w:val="20"/>
              </w:rPr>
              <w:t>1,15</w:t>
            </w:r>
          </w:p>
        </w:tc>
      </w:tr>
      <w:tr w:rsidR="00A36A71" w:rsidRPr="00A36A71" w14:paraId="3B2C1498" w14:textId="77777777" w:rsidTr="002C6A27">
        <w:trPr>
          <w:jc w:val="center"/>
        </w:trPr>
        <w:tc>
          <w:tcPr>
            <w:tcW w:w="2285" w:type="dxa"/>
            <w:shd w:val="clear" w:color="auto" w:fill="auto"/>
            <w:vAlign w:val="center"/>
          </w:tcPr>
          <w:p w14:paraId="4481C49F" w14:textId="77777777" w:rsidR="00A36A71" w:rsidRPr="00A36A71" w:rsidRDefault="00A36A71" w:rsidP="002C6A27">
            <w:pPr>
              <w:jc w:val="center"/>
              <w:rPr>
                <w:rFonts w:cs="Arial"/>
                <w:szCs w:val="20"/>
              </w:rPr>
            </w:pPr>
            <w:r w:rsidRPr="00A36A71">
              <w:rPr>
                <w:rFonts w:cs="Arial"/>
                <w:szCs w:val="20"/>
              </w:rPr>
              <w:t>20</w:t>
            </w:r>
          </w:p>
        </w:tc>
        <w:tc>
          <w:tcPr>
            <w:tcW w:w="2960" w:type="dxa"/>
            <w:shd w:val="clear" w:color="auto" w:fill="auto"/>
            <w:vAlign w:val="center"/>
          </w:tcPr>
          <w:p w14:paraId="4160D730" w14:textId="77777777" w:rsidR="00A36A71" w:rsidRPr="00A36A71" w:rsidRDefault="00A36A71" w:rsidP="002C6A27">
            <w:pPr>
              <w:jc w:val="center"/>
              <w:rPr>
                <w:rFonts w:cs="Arial"/>
                <w:color w:val="000000"/>
                <w:szCs w:val="20"/>
              </w:rPr>
            </w:pPr>
            <w:r w:rsidRPr="00A36A71">
              <w:rPr>
                <w:rFonts w:cs="Arial"/>
                <w:color w:val="000000"/>
                <w:szCs w:val="20"/>
              </w:rPr>
              <w:t>1,17</w:t>
            </w:r>
          </w:p>
        </w:tc>
      </w:tr>
      <w:tr w:rsidR="00A36A71" w:rsidRPr="00A36A71" w14:paraId="521C8322" w14:textId="77777777" w:rsidTr="002C6A27">
        <w:trPr>
          <w:jc w:val="center"/>
        </w:trPr>
        <w:tc>
          <w:tcPr>
            <w:tcW w:w="2285" w:type="dxa"/>
            <w:shd w:val="clear" w:color="auto" w:fill="auto"/>
            <w:vAlign w:val="center"/>
          </w:tcPr>
          <w:p w14:paraId="251EE1FD" w14:textId="77777777" w:rsidR="00A36A71" w:rsidRPr="00A36A71" w:rsidRDefault="00A36A71" w:rsidP="002C6A27">
            <w:pPr>
              <w:jc w:val="center"/>
              <w:rPr>
                <w:rFonts w:cs="Arial"/>
                <w:szCs w:val="20"/>
              </w:rPr>
            </w:pPr>
            <w:r w:rsidRPr="00A36A71">
              <w:rPr>
                <w:rFonts w:cs="Arial"/>
                <w:szCs w:val="20"/>
              </w:rPr>
              <w:t>21</w:t>
            </w:r>
          </w:p>
        </w:tc>
        <w:tc>
          <w:tcPr>
            <w:tcW w:w="2960" w:type="dxa"/>
            <w:shd w:val="clear" w:color="auto" w:fill="auto"/>
            <w:vAlign w:val="center"/>
          </w:tcPr>
          <w:p w14:paraId="2CD0676D" w14:textId="77777777" w:rsidR="00A36A71" w:rsidRPr="00A36A71" w:rsidRDefault="00A36A71" w:rsidP="002C6A27">
            <w:pPr>
              <w:jc w:val="center"/>
              <w:rPr>
                <w:rFonts w:cs="Arial"/>
                <w:color w:val="000000"/>
                <w:szCs w:val="20"/>
              </w:rPr>
            </w:pPr>
            <w:r w:rsidRPr="00A36A71">
              <w:rPr>
                <w:rFonts w:cs="Arial"/>
                <w:color w:val="000000"/>
                <w:szCs w:val="20"/>
              </w:rPr>
              <w:t>1,19</w:t>
            </w:r>
          </w:p>
        </w:tc>
      </w:tr>
      <w:tr w:rsidR="00A36A71" w:rsidRPr="00A36A71" w14:paraId="51FE50BA" w14:textId="77777777" w:rsidTr="002C6A27">
        <w:trPr>
          <w:jc w:val="center"/>
        </w:trPr>
        <w:tc>
          <w:tcPr>
            <w:tcW w:w="2285" w:type="dxa"/>
            <w:shd w:val="clear" w:color="auto" w:fill="auto"/>
            <w:vAlign w:val="center"/>
          </w:tcPr>
          <w:p w14:paraId="2ADF9495" w14:textId="77777777" w:rsidR="00A36A71" w:rsidRPr="00A36A71" w:rsidRDefault="00A36A71" w:rsidP="002C6A27">
            <w:pPr>
              <w:jc w:val="center"/>
              <w:rPr>
                <w:rFonts w:cs="Arial"/>
                <w:szCs w:val="20"/>
              </w:rPr>
            </w:pPr>
            <w:r w:rsidRPr="00A36A71">
              <w:rPr>
                <w:rFonts w:cs="Arial"/>
                <w:szCs w:val="20"/>
              </w:rPr>
              <w:t>22</w:t>
            </w:r>
          </w:p>
        </w:tc>
        <w:tc>
          <w:tcPr>
            <w:tcW w:w="2960" w:type="dxa"/>
            <w:shd w:val="clear" w:color="auto" w:fill="auto"/>
            <w:vAlign w:val="center"/>
          </w:tcPr>
          <w:p w14:paraId="5E53DAD0" w14:textId="77777777" w:rsidR="00A36A71" w:rsidRPr="00A36A71" w:rsidRDefault="00A36A71" w:rsidP="002C6A27">
            <w:pPr>
              <w:jc w:val="center"/>
              <w:rPr>
                <w:rFonts w:cs="Arial"/>
                <w:color w:val="000000"/>
                <w:szCs w:val="20"/>
              </w:rPr>
            </w:pPr>
            <w:r w:rsidRPr="00A36A71">
              <w:rPr>
                <w:rFonts w:cs="Arial"/>
                <w:color w:val="000000"/>
                <w:szCs w:val="20"/>
              </w:rPr>
              <w:t>1,22</w:t>
            </w:r>
          </w:p>
        </w:tc>
      </w:tr>
      <w:tr w:rsidR="00A36A71" w:rsidRPr="00A36A71" w14:paraId="6413AD25" w14:textId="77777777" w:rsidTr="002C6A27">
        <w:trPr>
          <w:jc w:val="center"/>
        </w:trPr>
        <w:tc>
          <w:tcPr>
            <w:tcW w:w="2285" w:type="dxa"/>
            <w:shd w:val="clear" w:color="auto" w:fill="auto"/>
            <w:vAlign w:val="center"/>
          </w:tcPr>
          <w:p w14:paraId="246BD061" w14:textId="77777777" w:rsidR="00A36A71" w:rsidRPr="00A36A71" w:rsidRDefault="00A36A71" w:rsidP="002C6A27">
            <w:pPr>
              <w:jc w:val="center"/>
              <w:rPr>
                <w:rFonts w:cs="Arial"/>
                <w:szCs w:val="20"/>
              </w:rPr>
            </w:pPr>
            <w:r w:rsidRPr="00A36A71">
              <w:rPr>
                <w:rFonts w:cs="Arial"/>
                <w:szCs w:val="20"/>
              </w:rPr>
              <w:t>23</w:t>
            </w:r>
          </w:p>
        </w:tc>
        <w:tc>
          <w:tcPr>
            <w:tcW w:w="2960" w:type="dxa"/>
            <w:shd w:val="clear" w:color="auto" w:fill="auto"/>
            <w:vAlign w:val="center"/>
          </w:tcPr>
          <w:p w14:paraId="5725E6CA" w14:textId="77777777" w:rsidR="00A36A71" w:rsidRPr="00A36A71" w:rsidRDefault="00A36A71" w:rsidP="002C6A27">
            <w:pPr>
              <w:jc w:val="center"/>
              <w:rPr>
                <w:rFonts w:cs="Arial"/>
                <w:color w:val="000000"/>
                <w:szCs w:val="20"/>
              </w:rPr>
            </w:pPr>
            <w:r w:rsidRPr="00A36A71">
              <w:rPr>
                <w:rFonts w:cs="Arial"/>
                <w:color w:val="000000"/>
                <w:szCs w:val="20"/>
              </w:rPr>
              <w:t>1,24</w:t>
            </w:r>
          </w:p>
        </w:tc>
      </w:tr>
      <w:tr w:rsidR="00A36A71" w:rsidRPr="00A36A71" w14:paraId="1892D583" w14:textId="77777777" w:rsidTr="002C6A27">
        <w:trPr>
          <w:jc w:val="center"/>
        </w:trPr>
        <w:tc>
          <w:tcPr>
            <w:tcW w:w="2285" w:type="dxa"/>
            <w:shd w:val="clear" w:color="auto" w:fill="auto"/>
            <w:vAlign w:val="center"/>
          </w:tcPr>
          <w:p w14:paraId="61E65582" w14:textId="77777777" w:rsidR="00A36A71" w:rsidRPr="00A36A71" w:rsidRDefault="00A36A71" w:rsidP="002C6A27">
            <w:pPr>
              <w:jc w:val="center"/>
              <w:rPr>
                <w:rFonts w:cs="Arial"/>
                <w:szCs w:val="20"/>
              </w:rPr>
            </w:pPr>
            <w:r w:rsidRPr="00A36A71">
              <w:rPr>
                <w:rFonts w:cs="Arial"/>
                <w:szCs w:val="20"/>
              </w:rPr>
              <w:t>24</w:t>
            </w:r>
          </w:p>
        </w:tc>
        <w:tc>
          <w:tcPr>
            <w:tcW w:w="2960" w:type="dxa"/>
            <w:shd w:val="clear" w:color="auto" w:fill="auto"/>
            <w:vAlign w:val="center"/>
          </w:tcPr>
          <w:p w14:paraId="5C6B39BC" w14:textId="77777777" w:rsidR="00A36A71" w:rsidRPr="00A36A71" w:rsidRDefault="00A36A71" w:rsidP="002C6A27">
            <w:pPr>
              <w:jc w:val="center"/>
              <w:rPr>
                <w:rFonts w:cs="Arial"/>
                <w:color w:val="000000"/>
                <w:szCs w:val="20"/>
              </w:rPr>
            </w:pPr>
            <w:r w:rsidRPr="00A36A71">
              <w:rPr>
                <w:rFonts w:cs="Arial"/>
                <w:color w:val="000000"/>
                <w:szCs w:val="20"/>
              </w:rPr>
              <w:t>1,27</w:t>
            </w:r>
          </w:p>
        </w:tc>
      </w:tr>
      <w:tr w:rsidR="00A36A71" w:rsidRPr="00A36A71" w14:paraId="5E0582A8" w14:textId="77777777" w:rsidTr="002C6A27">
        <w:trPr>
          <w:jc w:val="center"/>
        </w:trPr>
        <w:tc>
          <w:tcPr>
            <w:tcW w:w="2285" w:type="dxa"/>
            <w:shd w:val="clear" w:color="auto" w:fill="auto"/>
            <w:vAlign w:val="center"/>
          </w:tcPr>
          <w:p w14:paraId="5415D1DD" w14:textId="77777777" w:rsidR="00A36A71" w:rsidRPr="00A36A71" w:rsidRDefault="00A36A71" w:rsidP="002C6A27">
            <w:pPr>
              <w:jc w:val="center"/>
              <w:rPr>
                <w:rFonts w:cs="Arial"/>
                <w:szCs w:val="20"/>
              </w:rPr>
            </w:pPr>
            <w:r w:rsidRPr="00A36A71">
              <w:rPr>
                <w:rFonts w:cs="Arial"/>
                <w:szCs w:val="20"/>
              </w:rPr>
              <w:t>25</w:t>
            </w:r>
          </w:p>
        </w:tc>
        <w:tc>
          <w:tcPr>
            <w:tcW w:w="2960" w:type="dxa"/>
            <w:shd w:val="clear" w:color="auto" w:fill="auto"/>
            <w:vAlign w:val="center"/>
          </w:tcPr>
          <w:p w14:paraId="6420EBDE" w14:textId="77777777" w:rsidR="00A36A71" w:rsidRPr="00A36A71" w:rsidRDefault="00A36A71" w:rsidP="002C6A27">
            <w:pPr>
              <w:jc w:val="center"/>
              <w:rPr>
                <w:rFonts w:cs="Arial"/>
                <w:color w:val="000000"/>
                <w:szCs w:val="20"/>
              </w:rPr>
            </w:pPr>
            <w:r w:rsidRPr="00A36A71">
              <w:rPr>
                <w:rFonts w:cs="Arial"/>
                <w:color w:val="000000"/>
                <w:szCs w:val="20"/>
              </w:rPr>
              <w:t>1,30</w:t>
            </w:r>
          </w:p>
        </w:tc>
      </w:tr>
    </w:tbl>
    <w:p w14:paraId="14724D29" w14:textId="77777777" w:rsidR="00A36A71" w:rsidRPr="00A36A71" w:rsidRDefault="00A36A71" w:rsidP="00A36A71">
      <w:pPr>
        <w:pStyle w:val="Pripombabesedilo"/>
        <w:rPr>
          <w:rFonts w:eastAsia="Calibri"/>
        </w:rPr>
      </w:pPr>
    </w:p>
    <w:p w14:paraId="0006E77A" w14:textId="77777777" w:rsidR="00A36A71" w:rsidRPr="0023474D" w:rsidRDefault="00A36A71" w:rsidP="0023474D">
      <w:pPr>
        <w:pStyle w:val="Odstavek"/>
        <w:rPr>
          <w:rFonts w:cs="Arial"/>
          <w:color w:val="000000"/>
          <w:sz w:val="20"/>
          <w:szCs w:val="20"/>
          <w:shd w:val="clear" w:color="auto" w:fill="FFFFFF"/>
          <w:lang w:val="sl-SI"/>
        </w:rPr>
      </w:pPr>
      <w:r w:rsidRPr="00A36A71">
        <w:rPr>
          <w:rFonts w:eastAsia="Calibri"/>
          <w:sz w:val="20"/>
          <w:szCs w:val="20"/>
          <w:lang w:val="sl-SI"/>
        </w:rPr>
        <w:lastRenderedPageBreak/>
        <w:t>(4)</w:t>
      </w:r>
      <w:r w:rsidR="0023474D">
        <w:rPr>
          <w:rFonts w:eastAsia="Calibri"/>
          <w:sz w:val="20"/>
          <w:szCs w:val="20"/>
          <w:lang w:val="sl-SI"/>
        </w:rPr>
        <w:t xml:space="preserve"> Podatki o vrednostni ravni in</w:t>
      </w:r>
      <w:r w:rsidR="0023474D" w:rsidRPr="0023474D">
        <w:rPr>
          <w:rFonts w:eastAsia="Calibri"/>
          <w:sz w:val="20"/>
          <w:szCs w:val="20"/>
          <w:lang w:val="sl-SI"/>
        </w:rPr>
        <w:t xml:space="preserve"> lokacijskem faktorju stanovanja se glede na lokacijo zemljiške parcele na kateri stoji stavba s tem stanovanjem vodijo v prostorskem informacijskem sistemu iz zakona, ki ureja prostor.</w:t>
      </w:r>
    </w:p>
    <w:p w14:paraId="23EAF509" w14:textId="77777777" w:rsidR="00A36A71" w:rsidRPr="00A36A71" w:rsidRDefault="00A36A71" w:rsidP="00A36A71">
      <w:pPr>
        <w:pStyle w:val="len"/>
        <w:rPr>
          <w:sz w:val="20"/>
          <w:szCs w:val="20"/>
          <w:lang w:val="sl-SI"/>
        </w:rPr>
      </w:pPr>
      <w:r w:rsidRPr="00A36A71">
        <w:rPr>
          <w:sz w:val="20"/>
          <w:szCs w:val="20"/>
          <w:lang w:val="sl-SI"/>
        </w:rPr>
        <w:t>7</w:t>
      </w:r>
      <w:r w:rsidRPr="00A36A71">
        <w:rPr>
          <w:sz w:val="20"/>
          <w:szCs w:val="20"/>
        </w:rPr>
        <w:t>. člen</w:t>
      </w:r>
    </w:p>
    <w:p w14:paraId="07C71937" w14:textId="77777777" w:rsidR="00A36A71" w:rsidRPr="00A36A71" w:rsidRDefault="00A36A71" w:rsidP="00A36A71">
      <w:pPr>
        <w:pStyle w:val="Odstavek"/>
        <w:rPr>
          <w:sz w:val="20"/>
          <w:szCs w:val="20"/>
          <w:lang w:val="sl-SI"/>
        </w:rPr>
      </w:pPr>
      <w:r w:rsidRPr="00A36A71">
        <w:rPr>
          <w:sz w:val="20"/>
          <w:szCs w:val="20"/>
          <w:lang w:val="sl-SI"/>
        </w:rPr>
        <w:t>(1) V najemni pogodbi se zapiše enačba s podatki za izračun neprofitne najemnine, določene skladno z zakonom, ki ureja stanovanjska najemna razmerja, in to uredbo, pri čemer se višina neprofitne najemnine usklajuje skladno z zakonom, ki ureja stanovanjska najemna razmerja, brez spremembe najemne pogodbe.</w:t>
      </w:r>
    </w:p>
    <w:p w14:paraId="7C1F03E8" w14:textId="77777777" w:rsidR="00184839" w:rsidRDefault="00A36A71" w:rsidP="00A36A71">
      <w:pPr>
        <w:pStyle w:val="Odstavek"/>
        <w:rPr>
          <w:sz w:val="20"/>
          <w:szCs w:val="20"/>
          <w:lang w:val="sl-SI"/>
        </w:rPr>
      </w:pPr>
      <w:r w:rsidRPr="00A36A71">
        <w:rPr>
          <w:sz w:val="20"/>
          <w:szCs w:val="20"/>
          <w:lang w:val="sl-SI"/>
        </w:rPr>
        <w:t xml:space="preserve">(2) Ob vsakokratni </w:t>
      </w:r>
      <w:r w:rsidR="003C7024">
        <w:rPr>
          <w:sz w:val="20"/>
          <w:szCs w:val="20"/>
          <w:lang w:val="sl-SI"/>
        </w:rPr>
        <w:t>spremembi</w:t>
      </w:r>
      <w:r w:rsidR="003C7024" w:rsidRPr="00A36A71">
        <w:rPr>
          <w:sz w:val="20"/>
          <w:szCs w:val="20"/>
          <w:lang w:val="sl-SI"/>
        </w:rPr>
        <w:t xml:space="preserve"> </w:t>
      </w:r>
      <w:r w:rsidRPr="00A36A71">
        <w:rPr>
          <w:sz w:val="20"/>
          <w:szCs w:val="20"/>
          <w:lang w:val="sl-SI"/>
        </w:rPr>
        <w:t>višine neprofitne najemnine iz prejšnjega odstavka najemodajalec</w:t>
      </w:r>
      <w:r w:rsidR="008F1DB4">
        <w:rPr>
          <w:sz w:val="20"/>
          <w:szCs w:val="20"/>
          <w:lang w:val="sl-SI"/>
        </w:rPr>
        <w:t xml:space="preserve"> pisno</w:t>
      </w:r>
      <w:r w:rsidRPr="00A36A71">
        <w:rPr>
          <w:sz w:val="20"/>
          <w:szCs w:val="20"/>
          <w:lang w:val="sl-SI"/>
        </w:rPr>
        <w:t xml:space="preserve"> </w:t>
      </w:r>
      <w:r w:rsidR="00D84A3E">
        <w:rPr>
          <w:sz w:val="20"/>
          <w:szCs w:val="20"/>
          <w:lang w:val="sl-SI"/>
        </w:rPr>
        <w:t>obvesti</w:t>
      </w:r>
      <w:r w:rsidR="00D84A3E" w:rsidRPr="00A36A71">
        <w:rPr>
          <w:sz w:val="20"/>
          <w:szCs w:val="20"/>
          <w:lang w:val="sl-SI"/>
        </w:rPr>
        <w:t xml:space="preserve"> </w:t>
      </w:r>
      <w:r w:rsidRPr="00A36A71">
        <w:rPr>
          <w:sz w:val="20"/>
          <w:szCs w:val="20"/>
          <w:lang w:val="sl-SI"/>
        </w:rPr>
        <w:t xml:space="preserve">najemnika o </w:t>
      </w:r>
      <w:r w:rsidR="00447D7E">
        <w:rPr>
          <w:sz w:val="20"/>
          <w:szCs w:val="20"/>
          <w:lang w:val="sl-SI"/>
        </w:rPr>
        <w:t>spremenjeni višini neprofitne najemnine in razlogih za spremembo.</w:t>
      </w:r>
      <w:r w:rsidRPr="00A36A71">
        <w:rPr>
          <w:sz w:val="20"/>
          <w:szCs w:val="20"/>
          <w:lang w:val="sl-SI"/>
        </w:rPr>
        <w:t xml:space="preserve"> </w:t>
      </w:r>
    </w:p>
    <w:p w14:paraId="4CE5CC93" w14:textId="77777777" w:rsidR="00A36A71" w:rsidRPr="00A36A71" w:rsidRDefault="00A36A71" w:rsidP="00A36A71">
      <w:pPr>
        <w:pStyle w:val="Odstavek"/>
        <w:rPr>
          <w:sz w:val="20"/>
          <w:szCs w:val="20"/>
          <w:lang w:val="sl-SI"/>
        </w:rPr>
      </w:pPr>
      <w:r w:rsidRPr="00A36A71">
        <w:rPr>
          <w:sz w:val="20"/>
          <w:szCs w:val="20"/>
          <w:lang w:val="sl-SI"/>
        </w:rPr>
        <w:t xml:space="preserve">(3) Najemnik lahko </w:t>
      </w:r>
      <w:r w:rsidR="002D6B96">
        <w:rPr>
          <w:sz w:val="20"/>
          <w:szCs w:val="20"/>
          <w:lang w:val="sl-SI"/>
        </w:rPr>
        <w:t xml:space="preserve">zahteva preveritev </w:t>
      </w:r>
      <w:r w:rsidRPr="00A36A71">
        <w:rPr>
          <w:sz w:val="20"/>
          <w:szCs w:val="20"/>
          <w:lang w:val="sl-SI"/>
        </w:rPr>
        <w:t xml:space="preserve">višine neprofitne najemnine in zahteva spremembo višine neprofitne najemnine v skladu z zakonom, ki ureja stanovanjska najemna razmerja. </w:t>
      </w:r>
    </w:p>
    <w:p w14:paraId="26E5EF75" w14:textId="77777777" w:rsidR="00A36A71" w:rsidRPr="00A36A71" w:rsidRDefault="00A36A71" w:rsidP="00A36A71">
      <w:pPr>
        <w:pStyle w:val="len"/>
        <w:rPr>
          <w:sz w:val="20"/>
          <w:szCs w:val="20"/>
          <w:lang w:val="sl-SI"/>
        </w:rPr>
      </w:pPr>
      <w:r w:rsidRPr="00A36A71">
        <w:rPr>
          <w:sz w:val="20"/>
          <w:szCs w:val="20"/>
          <w:lang w:val="sl-SI"/>
        </w:rPr>
        <w:t>8. člen</w:t>
      </w:r>
    </w:p>
    <w:p w14:paraId="5E201CFD" w14:textId="77777777" w:rsidR="00A36A71" w:rsidRPr="00A36A71" w:rsidRDefault="00A36A71" w:rsidP="00A36A71">
      <w:pPr>
        <w:pStyle w:val="Odstavek"/>
        <w:rPr>
          <w:sz w:val="20"/>
          <w:szCs w:val="20"/>
          <w:lang w:val="sl-SI"/>
        </w:rPr>
      </w:pPr>
      <w:r w:rsidRPr="00A36A71">
        <w:rPr>
          <w:sz w:val="20"/>
          <w:szCs w:val="20"/>
          <w:lang w:val="sl-SI"/>
        </w:rPr>
        <w:t xml:space="preserve">(1) </w:t>
      </w:r>
      <w:r w:rsidRPr="00A36A71">
        <w:rPr>
          <w:sz w:val="20"/>
          <w:szCs w:val="20"/>
        </w:rPr>
        <w:t>N</w:t>
      </w:r>
      <w:r w:rsidRPr="00A36A71">
        <w:rPr>
          <w:sz w:val="20"/>
          <w:szCs w:val="20"/>
          <w:lang w:val="sl-SI"/>
        </w:rPr>
        <w:t xml:space="preserve">eprofitna </w:t>
      </w:r>
      <w:r w:rsidRPr="00A36A71">
        <w:rPr>
          <w:sz w:val="20"/>
          <w:szCs w:val="20"/>
        </w:rPr>
        <w:t>najemnina se plačuje do 15. dne v mesecu za tekoči mesec, če ni z najemno pogodbo določeno drugače.</w:t>
      </w:r>
    </w:p>
    <w:p w14:paraId="11050CAD" w14:textId="77777777" w:rsidR="00A36A71" w:rsidRPr="00A36A71" w:rsidRDefault="00A36A71" w:rsidP="00A36A71">
      <w:pPr>
        <w:pStyle w:val="Odstavek"/>
        <w:rPr>
          <w:sz w:val="20"/>
          <w:szCs w:val="20"/>
          <w:lang w:val="sl-SI"/>
        </w:rPr>
      </w:pPr>
      <w:r w:rsidRPr="00A36A71">
        <w:rPr>
          <w:rFonts w:cs="Arial"/>
          <w:color w:val="000000"/>
          <w:sz w:val="20"/>
          <w:szCs w:val="20"/>
          <w:shd w:val="clear" w:color="auto" w:fill="FFFFFF"/>
          <w:lang w:val="sl-SI"/>
        </w:rPr>
        <w:t xml:space="preserve">(2) </w:t>
      </w:r>
      <w:r w:rsidRPr="00A36A71">
        <w:rPr>
          <w:rFonts w:cs="Arial"/>
          <w:color w:val="000000"/>
          <w:sz w:val="20"/>
          <w:szCs w:val="20"/>
          <w:shd w:val="clear" w:color="auto" w:fill="FFFFFF"/>
        </w:rPr>
        <w:t>Od najemnine, ki ni plačana v roku iz prejšnjega odstavka, se od poteka roka naprej plačajo zakonite zamudne obresti, če ni z najemno pogodbo določeno drugače.</w:t>
      </w:r>
    </w:p>
    <w:p w14:paraId="09C3F881" w14:textId="77777777" w:rsidR="00A36A71" w:rsidRPr="00A36A71" w:rsidRDefault="00A36A71" w:rsidP="00A36A71">
      <w:pPr>
        <w:pStyle w:val="Poglavje"/>
        <w:rPr>
          <w:sz w:val="20"/>
          <w:szCs w:val="20"/>
        </w:rPr>
      </w:pPr>
      <w:r w:rsidRPr="00A36A71">
        <w:rPr>
          <w:sz w:val="20"/>
          <w:szCs w:val="20"/>
        </w:rPr>
        <w:t>II. VIŠINE SUBVENCIJ NAJEMNIN</w:t>
      </w:r>
    </w:p>
    <w:p w14:paraId="3E21346C" w14:textId="77777777" w:rsidR="00A36A71" w:rsidRPr="00A36A71" w:rsidRDefault="00A36A71" w:rsidP="00A36A71">
      <w:pPr>
        <w:pStyle w:val="len"/>
        <w:rPr>
          <w:sz w:val="20"/>
          <w:szCs w:val="20"/>
        </w:rPr>
      </w:pPr>
      <w:r w:rsidRPr="00A36A71">
        <w:rPr>
          <w:sz w:val="20"/>
          <w:szCs w:val="20"/>
          <w:lang w:val="sl-SI"/>
        </w:rPr>
        <w:t>9</w:t>
      </w:r>
      <w:r w:rsidRPr="00A36A71">
        <w:rPr>
          <w:sz w:val="20"/>
          <w:szCs w:val="20"/>
        </w:rPr>
        <w:t>. člen</w:t>
      </w:r>
    </w:p>
    <w:p w14:paraId="1AE4D89F" w14:textId="77777777" w:rsidR="00A36A71" w:rsidRPr="00A36A71" w:rsidRDefault="00A36A71" w:rsidP="00A36A71">
      <w:pPr>
        <w:pStyle w:val="Odstavek"/>
        <w:rPr>
          <w:sz w:val="20"/>
          <w:szCs w:val="20"/>
          <w:lang w:val="sl-SI"/>
        </w:rPr>
      </w:pPr>
      <w:r w:rsidRPr="00A36A71">
        <w:rPr>
          <w:sz w:val="20"/>
          <w:szCs w:val="20"/>
        </w:rPr>
        <w:t>Upravičenci do subvenci</w:t>
      </w:r>
      <w:r w:rsidRPr="00A36A71">
        <w:rPr>
          <w:sz w:val="20"/>
          <w:szCs w:val="20"/>
          <w:lang w:val="sl-SI"/>
        </w:rPr>
        <w:t>je</w:t>
      </w:r>
      <w:r w:rsidRPr="00A36A71">
        <w:rPr>
          <w:sz w:val="20"/>
          <w:szCs w:val="20"/>
        </w:rPr>
        <w:t xml:space="preserve"> najemnine so</w:t>
      </w:r>
      <w:r w:rsidRPr="00A36A71">
        <w:rPr>
          <w:sz w:val="20"/>
          <w:szCs w:val="20"/>
          <w:lang w:val="sl-SI"/>
        </w:rPr>
        <w:t xml:space="preserve"> lahko ob upoštevanju dohodkovnega cenzusa in premoženjskega pogoja iz zakona, ki ureja pravice iz javnih sredstev:</w:t>
      </w:r>
    </w:p>
    <w:p w14:paraId="585706E1"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najemniki neprofitnih stanovanj,</w:t>
      </w:r>
    </w:p>
    <w:p w14:paraId="1DAFCBA5"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najemniki namenskih najemnih stanovanj do višine neprofitnih najemnin,</w:t>
      </w:r>
    </w:p>
    <w:p w14:paraId="7C242D9D"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najemniki bivalnih enot, namenjenih začasnemu reševanju stanovanjskih potreb socialno ogroženih oseb,</w:t>
      </w:r>
    </w:p>
    <w:p w14:paraId="12F6D47A"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 xml:space="preserve">najemniki tržnega stanovanja, ki izpolnjujejo pogoje iz </w:t>
      </w:r>
      <w:proofErr w:type="spellStart"/>
      <w:r w:rsidRPr="00A36A71">
        <w:rPr>
          <w:sz w:val="20"/>
          <w:szCs w:val="20"/>
        </w:rPr>
        <w:t>121.a</w:t>
      </w:r>
      <w:proofErr w:type="spellEnd"/>
      <w:r w:rsidRPr="00A36A71">
        <w:rPr>
          <w:sz w:val="20"/>
          <w:szCs w:val="20"/>
        </w:rPr>
        <w:t xml:space="preserve"> člena Stanovanjskega zakona (Uradni list RS, št. 69/03, 18/04 – ZVKSES, 47/06 – ZEN, 45/08 – </w:t>
      </w:r>
      <w:proofErr w:type="spellStart"/>
      <w:r w:rsidRPr="00A36A71">
        <w:rPr>
          <w:sz w:val="20"/>
          <w:szCs w:val="20"/>
        </w:rPr>
        <w:t>ZVEtL</w:t>
      </w:r>
      <w:proofErr w:type="spellEnd"/>
      <w:r w:rsidRPr="00A36A71">
        <w:rPr>
          <w:sz w:val="20"/>
          <w:szCs w:val="20"/>
        </w:rPr>
        <w:t xml:space="preserve">, 57/08, 62/10 – </w:t>
      </w:r>
      <w:proofErr w:type="spellStart"/>
      <w:r w:rsidRPr="00A36A71">
        <w:rPr>
          <w:sz w:val="20"/>
          <w:szCs w:val="20"/>
        </w:rPr>
        <w:t>ZUPJS</w:t>
      </w:r>
      <w:proofErr w:type="spellEnd"/>
      <w:r w:rsidRPr="00A36A71">
        <w:rPr>
          <w:sz w:val="20"/>
          <w:szCs w:val="20"/>
        </w:rPr>
        <w:t xml:space="preserve">, 56/11 – </w:t>
      </w:r>
      <w:proofErr w:type="spellStart"/>
      <w:r w:rsidRPr="00A36A71">
        <w:rPr>
          <w:sz w:val="20"/>
          <w:szCs w:val="20"/>
        </w:rPr>
        <w:t>odl</w:t>
      </w:r>
      <w:proofErr w:type="spellEnd"/>
      <w:r w:rsidRPr="00A36A71">
        <w:rPr>
          <w:sz w:val="20"/>
          <w:szCs w:val="20"/>
        </w:rPr>
        <w:t xml:space="preserve">. US, 87/11, 40/12 – </w:t>
      </w:r>
      <w:proofErr w:type="spellStart"/>
      <w:r w:rsidRPr="00A36A71">
        <w:rPr>
          <w:sz w:val="20"/>
          <w:szCs w:val="20"/>
        </w:rPr>
        <w:t>ZUJF</w:t>
      </w:r>
      <w:proofErr w:type="spellEnd"/>
      <w:r w:rsidRPr="00A36A71">
        <w:rPr>
          <w:sz w:val="20"/>
          <w:szCs w:val="20"/>
        </w:rPr>
        <w:t xml:space="preserve">, 14/17 – </w:t>
      </w:r>
      <w:proofErr w:type="spellStart"/>
      <w:r w:rsidRPr="00A36A71">
        <w:rPr>
          <w:sz w:val="20"/>
          <w:szCs w:val="20"/>
        </w:rPr>
        <w:t>odl</w:t>
      </w:r>
      <w:proofErr w:type="spellEnd"/>
      <w:r w:rsidRPr="00A36A71">
        <w:rPr>
          <w:sz w:val="20"/>
          <w:szCs w:val="20"/>
        </w:rPr>
        <w:t xml:space="preserve">. US, 27/17, 59/19, 189/20 – ZFRO in ), </w:t>
      </w:r>
    </w:p>
    <w:p w14:paraId="22420A4A"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hišniki, ki še prebivajo v hišniških stanovanjih na podlagi ustreznega akta in glede hišniških opravil izpolnjujejo pogoje iz prvega odstavka 40. člena Zakona o spremembah in dopolnitvah Stanovanjskega zakona (Uradni list RS, št. 57/08) in</w:t>
      </w:r>
    </w:p>
    <w:p w14:paraId="5A9174AD"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 xml:space="preserve">podnajemniki, ki imajo sklenjeno </w:t>
      </w:r>
      <w:proofErr w:type="spellStart"/>
      <w:r w:rsidRPr="00A36A71">
        <w:rPr>
          <w:sz w:val="20"/>
          <w:szCs w:val="20"/>
        </w:rPr>
        <w:t>podnajemno</w:t>
      </w:r>
      <w:proofErr w:type="spellEnd"/>
      <w:r w:rsidRPr="00A36A71">
        <w:rPr>
          <w:sz w:val="20"/>
          <w:szCs w:val="20"/>
        </w:rPr>
        <w:t xml:space="preserve"> pogodbo po določbah o javnem najemu stanovanj v skladu z zakonom, ki ureja stanovanjska najemna razmerja.</w:t>
      </w:r>
    </w:p>
    <w:p w14:paraId="1935E8BE" w14:textId="77777777" w:rsidR="00A36A71" w:rsidRPr="00A36A71" w:rsidRDefault="00A36A71" w:rsidP="00A36A71">
      <w:pPr>
        <w:pStyle w:val="Alineazaodstavkom"/>
        <w:tabs>
          <w:tab w:val="clear" w:pos="360"/>
        </w:tabs>
        <w:ind w:left="397" w:hanging="397"/>
        <w:rPr>
          <w:sz w:val="20"/>
          <w:szCs w:val="20"/>
          <w:highlight w:val="red"/>
        </w:rPr>
      </w:pPr>
    </w:p>
    <w:p w14:paraId="442E76F9" w14:textId="77777777" w:rsidR="00A36A71" w:rsidRPr="00A36A71" w:rsidRDefault="00A36A71" w:rsidP="00A36A71">
      <w:pPr>
        <w:pStyle w:val="len"/>
        <w:rPr>
          <w:sz w:val="20"/>
          <w:szCs w:val="20"/>
          <w:lang w:val="sl-SI"/>
        </w:rPr>
      </w:pPr>
      <w:r w:rsidRPr="00A36A71">
        <w:rPr>
          <w:sz w:val="20"/>
          <w:szCs w:val="20"/>
          <w:lang w:val="sl-SI"/>
        </w:rPr>
        <w:t>10. člen</w:t>
      </w:r>
    </w:p>
    <w:p w14:paraId="4596FFE7" w14:textId="77777777" w:rsidR="00A36A71" w:rsidRPr="00A36A71" w:rsidRDefault="00A36A71" w:rsidP="00A36A71">
      <w:pPr>
        <w:pStyle w:val="Odstavek"/>
        <w:rPr>
          <w:rFonts w:cs="Arial"/>
          <w:color w:val="000000"/>
          <w:sz w:val="20"/>
          <w:szCs w:val="20"/>
          <w:shd w:val="clear" w:color="auto" w:fill="FFFFFF"/>
          <w:lang w:val="sl-SI"/>
        </w:rPr>
      </w:pPr>
      <w:r w:rsidRPr="00A36A71">
        <w:rPr>
          <w:rFonts w:cs="Arial"/>
          <w:color w:val="000000"/>
          <w:sz w:val="20"/>
          <w:szCs w:val="20"/>
          <w:shd w:val="clear" w:color="auto" w:fill="FFFFFF"/>
          <w:lang w:val="sl-SI"/>
        </w:rPr>
        <w:t xml:space="preserve"> (1) Pri izračunavanju subvencije najemnine se kot primerna površina glede na število oseb (v nadaljnjem besedilu: primerna površina) upošteva največja površina določena pri površinskih normativih za stanovanja brez plačila lastne udeležbe in varščine iz predpisa, ki ureja dodeljevanje neprofitnih stanovanj v najem.</w:t>
      </w:r>
    </w:p>
    <w:p w14:paraId="4CE42BC4" w14:textId="77777777" w:rsidR="00A36A71" w:rsidRPr="00A36A71" w:rsidRDefault="00A36A71" w:rsidP="00A36A71">
      <w:pPr>
        <w:pStyle w:val="Odstavek"/>
        <w:rPr>
          <w:rFonts w:cs="Arial"/>
          <w:color w:val="000000"/>
          <w:sz w:val="20"/>
          <w:szCs w:val="20"/>
          <w:shd w:val="clear" w:color="auto" w:fill="FFFFFF"/>
          <w:lang w:val="sl-SI"/>
        </w:rPr>
      </w:pPr>
      <w:r w:rsidRPr="00A36A71">
        <w:rPr>
          <w:rFonts w:cs="Arial"/>
          <w:color w:val="000000"/>
          <w:sz w:val="20"/>
          <w:szCs w:val="20"/>
          <w:shd w:val="clear" w:color="auto" w:fill="FFFFFF"/>
          <w:lang w:val="sl-SI"/>
        </w:rPr>
        <w:lastRenderedPageBreak/>
        <w:t>(2) Ne glede na prejšnji odstavek se kot primerna površina pri izračunavanju subvencije neprofitne najemnine za osebo, ki živi v neprofitnem stanovanju sama, lahko upošteva največ 40 m2, če najemodajalec najemniku ne ponudi po površini primerno veliko neprofitno stanovanje. Če najemodajalec ponudi najemniku iz prejšnje povedi v zamenjavo neprofitno stanovanje veliko do površine 30 m2 in ga le-ta zavrne, se pri izračunavanju subvencije neprofitne najemnine upošteva primerna površina iz prejšnjega odstavka.</w:t>
      </w:r>
    </w:p>
    <w:p w14:paraId="686FD8CA" w14:textId="77777777" w:rsidR="00A36A71" w:rsidRPr="00A36A71" w:rsidRDefault="00A36A71" w:rsidP="00A36A71">
      <w:pPr>
        <w:pStyle w:val="Odstavek"/>
        <w:rPr>
          <w:rFonts w:cs="Arial"/>
          <w:color w:val="000000"/>
          <w:sz w:val="20"/>
          <w:szCs w:val="20"/>
          <w:shd w:val="clear" w:color="auto" w:fill="FFFFFF"/>
          <w:lang w:val="sl-SI"/>
        </w:rPr>
      </w:pPr>
      <w:r w:rsidRPr="00A36A71">
        <w:rPr>
          <w:rFonts w:cs="Arial"/>
          <w:color w:val="000000"/>
          <w:sz w:val="20"/>
          <w:szCs w:val="20"/>
          <w:shd w:val="clear" w:color="auto" w:fill="FFFFFF"/>
          <w:lang w:val="sl-SI"/>
        </w:rPr>
        <w:t>(3) Ne glede na prvi odstavek tega člena se pri izračunavanju subvencije najemnine kot primerna površina za gospodinjstvo z invalidnim članom, ki mu je oteženo ali preprečeno normalno gibanje, upošteva dejanska površina stanovanja, razen pri izračunavanju subvencij k tržnim najemninam  se kot primerna površina upošteva primerna površina iz prvega odstavka tega člena, povečana za 10 m2.</w:t>
      </w:r>
    </w:p>
    <w:p w14:paraId="25DCAE60" w14:textId="77777777" w:rsidR="00A36A71" w:rsidRPr="00A36A71" w:rsidRDefault="00A36A71" w:rsidP="00A36A71">
      <w:pPr>
        <w:pStyle w:val="Odstavek"/>
        <w:rPr>
          <w:rFonts w:cs="Arial"/>
          <w:color w:val="000000"/>
          <w:sz w:val="20"/>
          <w:szCs w:val="20"/>
          <w:shd w:val="clear" w:color="auto" w:fill="FFFFFF"/>
          <w:lang w:val="sl-SI"/>
        </w:rPr>
      </w:pPr>
      <w:r w:rsidRPr="00A36A71">
        <w:rPr>
          <w:rFonts w:cs="Arial"/>
          <w:color w:val="000000"/>
          <w:sz w:val="20"/>
          <w:szCs w:val="20"/>
          <w:shd w:val="clear" w:color="auto" w:fill="FFFFFF"/>
          <w:lang w:val="sl-SI"/>
        </w:rPr>
        <w:t xml:space="preserve">(4) Dejanska površina je </w:t>
      </w:r>
      <w:r w:rsidRPr="00A36A71">
        <w:rPr>
          <w:sz w:val="20"/>
          <w:szCs w:val="20"/>
        </w:rPr>
        <w:t>uporabn</w:t>
      </w:r>
      <w:r w:rsidRPr="00A36A71">
        <w:rPr>
          <w:sz w:val="20"/>
          <w:szCs w:val="20"/>
          <w:lang w:val="sl-SI"/>
        </w:rPr>
        <w:t>a</w:t>
      </w:r>
      <w:r w:rsidRPr="00A36A71">
        <w:rPr>
          <w:sz w:val="20"/>
          <w:szCs w:val="20"/>
        </w:rPr>
        <w:t xml:space="preserve"> </w:t>
      </w:r>
      <w:r w:rsidRPr="00A36A71">
        <w:rPr>
          <w:sz w:val="20"/>
          <w:szCs w:val="20"/>
          <w:lang w:val="sl-SI"/>
        </w:rPr>
        <w:t xml:space="preserve">stanovanjska </w:t>
      </w:r>
      <w:r w:rsidRPr="00A36A71">
        <w:rPr>
          <w:sz w:val="20"/>
          <w:szCs w:val="20"/>
        </w:rPr>
        <w:t>površin</w:t>
      </w:r>
      <w:r w:rsidRPr="00A36A71">
        <w:rPr>
          <w:sz w:val="20"/>
          <w:szCs w:val="20"/>
          <w:lang w:val="sl-SI"/>
        </w:rPr>
        <w:t>a iz tretjega odstavka 3. člena te uredbe oziroma pri tržnih stanovanjih površina navedena v najemni pogodbi.</w:t>
      </w:r>
    </w:p>
    <w:p w14:paraId="1E1A6F6B" w14:textId="77777777" w:rsidR="00A36A71" w:rsidRPr="00A36A71" w:rsidRDefault="00A36A71" w:rsidP="00A36A71">
      <w:pPr>
        <w:pStyle w:val="len"/>
        <w:rPr>
          <w:sz w:val="20"/>
          <w:szCs w:val="20"/>
          <w:lang w:val="sl-SI"/>
        </w:rPr>
      </w:pPr>
      <w:r w:rsidRPr="00A36A71">
        <w:rPr>
          <w:sz w:val="20"/>
          <w:szCs w:val="20"/>
          <w:lang w:val="sl-SI"/>
        </w:rPr>
        <w:t>11. člen</w:t>
      </w:r>
    </w:p>
    <w:p w14:paraId="77312DD7" w14:textId="77777777" w:rsidR="00A36A71" w:rsidRPr="00A36A71" w:rsidRDefault="00A36A71" w:rsidP="00A36A71">
      <w:pPr>
        <w:pStyle w:val="Odstavek"/>
        <w:rPr>
          <w:sz w:val="20"/>
          <w:szCs w:val="20"/>
          <w:lang w:val="sl-SI"/>
        </w:rPr>
      </w:pPr>
      <w:r w:rsidRPr="00A36A71">
        <w:rPr>
          <w:sz w:val="20"/>
          <w:szCs w:val="20"/>
          <w:lang w:val="sl-SI"/>
        </w:rPr>
        <w:t>(1) Subvencija neprofitne najemnine je razlika med neprofitno najemnino, določeno v skladu s to uredbo, pri čemer se upošteva dejanska površina stanovanja, ki jo najemnik zaseda, vendar ne večja kot je primerna površina iz prejšnjega člena, in ugotovljenim dohodkom, zmanjšanim za minimalni dohodek in za 30 % ugotovljenega dohodka najemnika in uporabnikov stanovanja, pri čemer se pri posamezniku, ki prebiva v stanovanju sam, upošteva minimalni dohodek za samsko osebo, zvišan za 0,1 osnovnega zneska minimalnega dohodka po predpisu, ki ureja socialnovarstvene prejemke. Če lastnik stanovanja zaračunava nižjo neprofitno najemnino, kot bi jo lahko glede na določbe te uredbe, se subvencija izračunava od nižje neprofitne najemnine.</w:t>
      </w:r>
    </w:p>
    <w:p w14:paraId="34B8865F" w14:textId="77777777" w:rsidR="00A36A71" w:rsidRPr="00A36A71" w:rsidRDefault="00A36A71" w:rsidP="00A36A71">
      <w:pPr>
        <w:pStyle w:val="Odstavek"/>
        <w:rPr>
          <w:sz w:val="20"/>
          <w:szCs w:val="20"/>
          <w:lang w:val="sl-SI"/>
        </w:rPr>
      </w:pPr>
      <w:r w:rsidRPr="00A36A71">
        <w:rPr>
          <w:sz w:val="20"/>
          <w:szCs w:val="20"/>
          <w:lang w:val="sl-SI"/>
        </w:rPr>
        <w:t>(2) Subvencija neprofitne najemnine se določi največ v višini 85 % neprofitne najemnine iz prejšnjega odstavka.</w:t>
      </w:r>
    </w:p>
    <w:p w14:paraId="2607A854" w14:textId="77777777" w:rsidR="00A36A71" w:rsidRPr="00A36A71" w:rsidRDefault="00A36A71" w:rsidP="00A36A71">
      <w:pPr>
        <w:pStyle w:val="Odstavek"/>
        <w:rPr>
          <w:sz w:val="20"/>
          <w:szCs w:val="20"/>
        </w:rPr>
      </w:pPr>
      <w:r w:rsidRPr="00A36A71">
        <w:rPr>
          <w:sz w:val="20"/>
          <w:szCs w:val="20"/>
          <w:lang w:val="sl-SI"/>
        </w:rPr>
        <w:t xml:space="preserve">(3) </w:t>
      </w:r>
      <w:r w:rsidRPr="00A36A71">
        <w:rPr>
          <w:sz w:val="20"/>
          <w:szCs w:val="20"/>
        </w:rPr>
        <w:t xml:space="preserve">Subvencija iz prvega odstavka tega člena se izračuna po naslednji </w:t>
      </w:r>
      <w:r w:rsidRPr="00A36A71">
        <w:rPr>
          <w:sz w:val="20"/>
          <w:szCs w:val="20"/>
          <w:lang w:val="sl-SI"/>
        </w:rPr>
        <w:t>enačbi</w:t>
      </w:r>
      <w:r w:rsidRPr="00A36A71">
        <w:rPr>
          <w:sz w:val="20"/>
          <w:szCs w:val="20"/>
        </w:rPr>
        <w:t>:</w:t>
      </w:r>
    </w:p>
    <w:p w14:paraId="0ED172BD" w14:textId="77777777" w:rsidR="00A36A71" w:rsidRPr="00A36A71" w:rsidRDefault="00A36A71" w:rsidP="00A36A71">
      <w:pPr>
        <w:pStyle w:val="rkovnatokazaodstavkom"/>
        <w:numPr>
          <w:ilvl w:val="0"/>
          <w:numId w:val="0"/>
        </w:numPr>
        <w:ind w:left="284" w:hanging="284"/>
      </w:pPr>
      <w:r w:rsidRPr="00A36A71">
        <w:t>a) NN - (UD – MD – 30%UD) = SNN ali</w:t>
      </w:r>
    </w:p>
    <w:p w14:paraId="142B766F" w14:textId="77777777" w:rsidR="00A36A71" w:rsidRPr="00A36A71" w:rsidRDefault="00A36A71" w:rsidP="00A36A71">
      <w:pPr>
        <w:pStyle w:val="rkovnatokazaodstavkom"/>
        <w:numPr>
          <w:ilvl w:val="0"/>
          <w:numId w:val="0"/>
        </w:numPr>
        <w:ind w:left="284" w:hanging="284"/>
      </w:pPr>
      <w:r w:rsidRPr="00A36A71">
        <w:t>b) DNN - (UD – MD – 30%UD) = SNN,</w:t>
      </w:r>
    </w:p>
    <w:p w14:paraId="626B3586" w14:textId="77777777" w:rsidR="00A36A71" w:rsidRPr="00A36A71" w:rsidRDefault="00A36A71" w:rsidP="00A36A71">
      <w:pPr>
        <w:pStyle w:val="rkovnatokazaodstavkom"/>
        <w:numPr>
          <w:ilvl w:val="0"/>
          <w:numId w:val="0"/>
        </w:numPr>
        <w:ind w:left="284" w:hanging="284"/>
      </w:pPr>
    </w:p>
    <w:p w14:paraId="45F12E2C" w14:textId="77777777" w:rsidR="00A36A71" w:rsidRPr="00A36A71" w:rsidRDefault="00A36A71" w:rsidP="00A36A71">
      <w:pPr>
        <w:pStyle w:val="rkovnatokazaodstavkom"/>
        <w:numPr>
          <w:ilvl w:val="0"/>
          <w:numId w:val="0"/>
        </w:numPr>
        <w:ind w:left="284" w:hanging="284"/>
      </w:pPr>
      <w:r w:rsidRPr="00A36A71">
        <w:t>pri čemer je:</w:t>
      </w:r>
    </w:p>
    <w:p w14:paraId="50851551"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NN: neprofitna najemnina, izračunana v skladu s to uredbo, pri čemer površina stanovanja ni večja kot znaša primerna površina iz 10. člena te uredbe;</w:t>
      </w:r>
    </w:p>
    <w:p w14:paraId="1C8F9B45"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UD: ugotovljen dohodek, ki se ugotovi v skladu z zakonom, ki ureja uveljavljanje pravic do javnih sredstev;</w:t>
      </w:r>
    </w:p>
    <w:p w14:paraId="4C446D8C"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MD: minimalni dohodek, ki se ugotovi v skladu s predpisi, ki urejajo socialnovarstvene prejemke. Le-ta se pri posamezniku, ki prebiva v stanovanju sam, zviša za 0,1 osnovnega zneska minimalnega dohodka;</w:t>
      </w:r>
    </w:p>
    <w:p w14:paraId="782B78A3"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SNN: subvencija neprofitne najemnine;</w:t>
      </w:r>
    </w:p>
    <w:p w14:paraId="36BFEAD2"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DNN: dejanska neprofitna najemnina je najemnina iz najemne pogodbe.</w:t>
      </w:r>
      <w:r w:rsidRPr="00A36A71" w:rsidDel="00A510EA">
        <w:rPr>
          <w:sz w:val="20"/>
          <w:szCs w:val="20"/>
        </w:rPr>
        <w:t xml:space="preserve"> </w:t>
      </w:r>
    </w:p>
    <w:p w14:paraId="7BA03973" w14:textId="77777777" w:rsidR="00A36A71" w:rsidRPr="00A36A71" w:rsidRDefault="00A36A71" w:rsidP="00A36A71">
      <w:pPr>
        <w:pStyle w:val="len"/>
        <w:rPr>
          <w:sz w:val="20"/>
          <w:szCs w:val="20"/>
          <w:lang w:val="sl-SI"/>
        </w:rPr>
      </w:pPr>
      <w:r w:rsidRPr="00A36A71">
        <w:rPr>
          <w:sz w:val="20"/>
          <w:szCs w:val="20"/>
          <w:lang w:val="sl-SI"/>
        </w:rPr>
        <w:t>12. člen</w:t>
      </w:r>
    </w:p>
    <w:p w14:paraId="4CC8F5B3" w14:textId="77777777" w:rsidR="00A36A71" w:rsidRPr="00A36A71" w:rsidRDefault="00A36A71" w:rsidP="00A36A71">
      <w:pPr>
        <w:pStyle w:val="Odstavek"/>
        <w:rPr>
          <w:sz w:val="20"/>
          <w:szCs w:val="20"/>
          <w:lang w:val="sl-SI"/>
        </w:rPr>
      </w:pPr>
      <w:r w:rsidRPr="00A36A71">
        <w:rPr>
          <w:sz w:val="20"/>
          <w:szCs w:val="20"/>
          <w:lang w:val="sl-SI"/>
        </w:rPr>
        <w:t xml:space="preserve">(1) </w:t>
      </w:r>
      <w:r w:rsidRPr="00A36A71">
        <w:rPr>
          <w:sz w:val="20"/>
          <w:szCs w:val="20"/>
        </w:rPr>
        <w:t xml:space="preserve">Subvencija k plačilu tržne najemnine za najemnike iz četrte in pete alinee prvega odstavka </w:t>
      </w:r>
      <w:r w:rsidRPr="00A36A71">
        <w:rPr>
          <w:sz w:val="20"/>
          <w:szCs w:val="20"/>
          <w:lang w:val="sl-SI"/>
        </w:rPr>
        <w:t>9</w:t>
      </w:r>
      <w:r w:rsidRPr="00A36A71">
        <w:rPr>
          <w:sz w:val="20"/>
          <w:szCs w:val="20"/>
        </w:rPr>
        <w:t>. člena te uredbe predstavlja</w:t>
      </w:r>
      <w:r w:rsidRPr="00A36A71">
        <w:rPr>
          <w:sz w:val="20"/>
          <w:szCs w:val="20"/>
          <w:lang w:val="sl-SI"/>
        </w:rPr>
        <w:t xml:space="preserve"> vsota subvencije za neprofitni del najemnine in subvencije za tržni del najemnine.</w:t>
      </w:r>
    </w:p>
    <w:p w14:paraId="5486B6DB" w14:textId="77777777" w:rsidR="00A36A71" w:rsidRPr="00A36A71" w:rsidRDefault="00A36A71" w:rsidP="00A36A71">
      <w:pPr>
        <w:pStyle w:val="Odstavek"/>
        <w:rPr>
          <w:sz w:val="20"/>
          <w:szCs w:val="20"/>
          <w:lang w:val="sl-SI"/>
        </w:rPr>
      </w:pPr>
      <w:r w:rsidRPr="00A36A71">
        <w:rPr>
          <w:sz w:val="20"/>
          <w:szCs w:val="20"/>
          <w:lang w:val="sl-SI"/>
        </w:rPr>
        <w:t>(2) Subvencija za neprofitni del najemnine se izračuna na način iz tretjega odstavka prejšnjega člena, pri čemer se za neprofitno najemnino upošteva zmnožek dejanske površine stanovanja, vendar ne večje kot je primerna</w:t>
      </w:r>
      <w:r w:rsidRPr="00A36A71">
        <w:rPr>
          <w:sz w:val="20"/>
          <w:szCs w:val="20"/>
        </w:rPr>
        <w:t xml:space="preserve"> površina </w:t>
      </w:r>
      <w:r w:rsidRPr="00A36A71">
        <w:rPr>
          <w:sz w:val="20"/>
          <w:szCs w:val="20"/>
          <w:lang w:val="sl-SI"/>
        </w:rPr>
        <w:t xml:space="preserve">iz 10. člena te uredbe, in priznane neprofitne najemnine, določene z zakonom, ki ureja stanovanjska najemna razmerja, </w:t>
      </w:r>
      <w:r w:rsidRPr="00A36A71">
        <w:rPr>
          <w:sz w:val="20"/>
          <w:szCs w:val="20"/>
        </w:rPr>
        <w:t xml:space="preserve">oziroma od dejanske tržne najemnine, kadar je ta nižja od priznane </w:t>
      </w:r>
      <w:r w:rsidRPr="00A36A71">
        <w:rPr>
          <w:sz w:val="20"/>
          <w:szCs w:val="20"/>
          <w:lang w:val="sl-SI"/>
        </w:rPr>
        <w:t>neprofitne</w:t>
      </w:r>
      <w:r w:rsidRPr="00A36A71">
        <w:rPr>
          <w:sz w:val="20"/>
          <w:szCs w:val="20"/>
        </w:rPr>
        <w:t xml:space="preserve"> najemnine</w:t>
      </w:r>
      <w:r w:rsidRPr="00A36A71">
        <w:rPr>
          <w:sz w:val="20"/>
          <w:szCs w:val="20"/>
          <w:lang w:val="sl-SI"/>
        </w:rPr>
        <w:t>.</w:t>
      </w:r>
    </w:p>
    <w:p w14:paraId="4F21DFCD" w14:textId="77777777" w:rsidR="00A36A71" w:rsidRPr="00A36A71" w:rsidRDefault="00A36A71" w:rsidP="00A36A71">
      <w:pPr>
        <w:pStyle w:val="Odstavek"/>
        <w:rPr>
          <w:sz w:val="20"/>
          <w:szCs w:val="20"/>
          <w:lang w:val="sl-SI"/>
        </w:rPr>
      </w:pPr>
      <w:r w:rsidRPr="00A36A71">
        <w:rPr>
          <w:sz w:val="20"/>
          <w:szCs w:val="20"/>
          <w:lang w:val="sl-SI"/>
        </w:rPr>
        <w:lastRenderedPageBreak/>
        <w:t>(3) Subvencija za tržni del najemnine je</w:t>
      </w:r>
      <w:r w:rsidRPr="00A36A71">
        <w:rPr>
          <w:sz w:val="20"/>
          <w:szCs w:val="20"/>
        </w:rPr>
        <w:t xml:space="preserve"> </w:t>
      </w:r>
      <w:r w:rsidRPr="00A36A71">
        <w:rPr>
          <w:sz w:val="20"/>
          <w:szCs w:val="20"/>
          <w:lang w:val="sl-SI"/>
        </w:rPr>
        <w:t>zmnožek dejanske površine stanovanja, vendar ne večje kot je primerna</w:t>
      </w:r>
      <w:r w:rsidRPr="00A36A71">
        <w:rPr>
          <w:sz w:val="20"/>
          <w:szCs w:val="20"/>
        </w:rPr>
        <w:t xml:space="preserve"> površina </w:t>
      </w:r>
      <w:r w:rsidRPr="00A36A71">
        <w:rPr>
          <w:sz w:val="20"/>
          <w:szCs w:val="20"/>
          <w:lang w:val="sl-SI"/>
        </w:rPr>
        <w:t xml:space="preserve">iz 10. člena te uredbe, in </w:t>
      </w:r>
      <w:r w:rsidRPr="00A36A71">
        <w:rPr>
          <w:sz w:val="20"/>
          <w:szCs w:val="20"/>
        </w:rPr>
        <w:t>razlik</w:t>
      </w:r>
      <w:r w:rsidRPr="00A36A71">
        <w:rPr>
          <w:sz w:val="20"/>
          <w:szCs w:val="20"/>
          <w:lang w:val="sl-SI"/>
        </w:rPr>
        <w:t>e</w:t>
      </w:r>
      <w:r w:rsidRPr="00A36A71">
        <w:rPr>
          <w:sz w:val="20"/>
          <w:szCs w:val="20"/>
        </w:rPr>
        <w:t xml:space="preserve"> med priznano tržno najemnino </w:t>
      </w:r>
      <w:r w:rsidRPr="00A36A71">
        <w:rPr>
          <w:sz w:val="20"/>
          <w:szCs w:val="20"/>
          <w:lang w:val="sl-SI"/>
        </w:rPr>
        <w:t>iz 13. člena te uredbe</w:t>
      </w:r>
      <w:r w:rsidRPr="00A36A71">
        <w:rPr>
          <w:sz w:val="20"/>
          <w:szCs w:val="20"/>
        </w:rPr>
        <w:t xml:space="preserve"> oziroma dejansko tržno najemnino, kadar je ta nižja od priznane tržne najemnine, in priznano neprofitno najemnino </w:t>
      </w:r>
      <w:r w:rsidRPr="00A36A71">
        <w:rPr>
          <w:sz w:val="20"/>
          <w:szCs w:val="20"/>
          <w:lang w:val="sl-SI"/>
        </w:rPr>
        <w:t>določeno</w:t>
      </w:r>
      <w:r w:rsidRPr="00A36A71">
        <w:rPr>
          <w:sz w:val="20"/>
          <w:szCs w:val="20"/>
        </w:rPr>
        <w:t xml:space="preserve"> </w:t>
      </w:r>
      <w:r w:rsidRPr="00A36A71">
        <w:rPr>
          <w:sz w:val="20"/>
          <w:szCs w:val="20"/>
          <w:lang w:val="sl-SI"/>
        </w:rPr>
        <w:t>z zakonom, ki ureja stanovanjska najemna razmerja.</w:t>
      </w:r>
    </w:p>
    <w:p w14:paraId="6193990E" w14:textId="77777777" w:rsidR="00A36A71" w:rsidRPr="00A36A71" w:rsidRDefault="00A36A71" w:rsidP="00A36A71">
      <w:pPr>
        <w:pStyle w:val="Odstavek"/>
        <w:rPr>
          <w:sz w:val="20"/>
          <w:szCs w:val="20"/>
        </w:rPr>
      </w:pPr>
      <w:r w:rsidRPr="00A36A71">
        <w:rPr>
          <w:sz w:val="20"/>
          <w:szCs w:val="20"/>
          <w:lang w:val="sl-SI"/>
        </w:rPr>
        <w:t xml:space="preserve">(4) </w:t>
      </w:r>
      <w:r w:rsidRPr="00A36A71">
        <w:rPr>
          <w:sz w:val="20"/>
          <w:szCs w:val="20"/>
        </w:rPr>
        <w:t>Dejanska tržna najemnina (DTN) je izražena v eur/</w:t>
      </w:r>
      <w:proofErr w:type="spellStart"/>
      <w:r w:rsidRPr="00A36A71">
        <w:rPr>
          <w:sz w:val="20"/>
          <w:szCs w:val="20"/>
        </w:rPr>
        <w:t>m²</w:t>
      </w:r>
      <w:proofErr w:type="spellEnd"/>
      <w:r w:rsidRPr="00A36A71">
        <w:rPr>
          <w:sz w:val="20"/>
          <w:szCs w:val="20"/>
        </w:rPr>
        <w:t xml:space="preserve"> in se izračuna po naslednji formuli:</w:t>
      </w:r>
    </w:p>
    <w:p w14:paraId="7663A944" w14:textId="77777777" w:rsidR="00A36A71" w:rsidRPr="00A36A71" w:rsidRDefault="00A36A71" w:rsidP="00A36A71">
      <w:pPr>
        <w:pStyle w:val="Odstavek"/>
        <w:ind w:firstLine="0"/>
        <w:jc w:val="center"/>
        <w:rPr>
          <w:sz w:val="20"/>
          <w:szCs w:val="20"/>
        </w:rPr>
      </w:pPr>
      <w:r w:rsidRPr="00A36A71">
        <w:rPr>
          <w:sz w:val="20"/>
          <w:szCs w:val="20"/>
        </w:rPr>
        <w:t>DTN = N/PS,</w:t>
      </w:r>
    </w:p>
    <w:p w14:paraId="68618738" w14:textId="77777777" w:rsidR="00A36A71" w:rsidRPr="00A36A71" w:rsidRDefault="00A36A71" w:rsidP="00A36A71">
      <w:pPr>
        <w:pStyle w:val="Zamaknjenadolobaprvinivo"/>
        <w:spacing w:before="400"/>
        <w:rPr>
          <w:sz w:val="20"/>
          <w:szCs w:val="20"/>
        </w:rPr>
      </w:pPr>
      <w:r w:rsidRPr="00A36A71">
        <w:rPr>
          <w:sz w:val="20"/>
          <w:szCs w:val="20"/>
        </w:rPr>
        <w:t>pri čemer je:</w:t>
      </w:r>
    </w:p>
    <w:p w14:paraId="008D5061" w14:textId="77777777" w:rsidR="00A36A71" w:rsidRPr="00A36A71" w:rsidRDefault="00A36A71" w:rsidP="00A36A71">
      <w:pPr>
        <w:pStyle w:val="Zamaknjenadolobaprvinivo"/>
        <w:rPr>
          <w:sz w:val="20"/>
          <w:szCs w:val="20"/>
        </w:rPr>
      </w:pPr>
      <w:r w:rsidRPr="00A36A71">
        <w:rPr>
          <w:sz w:val="20"/>
          <w:szCs w:val="20"/>
        </w:rPr>
        <w:t>N = najemnina iz najemne pogodbe;</w:t>
      </w:r>
    </w:p>
    <w:p w14:paraId="48515555" w14:textId="77777777" w:rsidR="00A36A71" w:rsidRPr="00A36A71" w:rsidRDefault="00A36A71" w:rsidP="00A36A71">
      <w:pPr>
        <w:pStyle w:val="Zamaknjenadolobaprvinivo"/>
        <w:rPr>
          <w:sz w:val="20"/>
          <w:szCs w:val="20"/>
        </w:rPr>
      </w:pPr>
      <w:r w:rsidRPr="00A36A71">
        <w:rPr>
          <w:sz w:val="20"/>
          <w:szCs w:val="20"/>
        </w:rPr>
        <w:t xml:space="preserve">PS = </w:t>
      </w:r>
      <w:r w:rsidRPr="00A36A71">
        <w:rPr>
          <w:sz w:val="20"/>
          <w:szCs w:val="20"/>
          <w:lang w:val="sl-SI"/>
        </w:rPr>
        <w:t xml:space="preserve">dejanska </w:t>
      </w:r>
      <w:r w:rsidRPr="00A36A71">
        <w:rPr>
          <w:sz w:val="20"/>
          <w:szCs w:val="20"/>
        </w:rPr>
        <w:t>površina stanovanja iz najemne pogodbe.</w:t>
      </w:r>
    </w:p>
    <w:p w14:paraId="73436B47" w14:textId="77777777" w:rsidR="00A36A71" w:rsidRPr="00A36A71" w:rsidRDefault="00A36A71" w:rsidP="00A36A71">
      <w:pPr>
        <w:pStyle w:val="Odstavek"/>
        <w:rPr>
          <w:sz w:val="20"/>
          <w:szCs w:val="20"/>
        </w:rPr>
      </w:pPr>
      <w:r w:rsidRPr="00A36A71">
        <w:rPr>
          <w:sz w:val="20"/>
          <w:szCs w:val="20"/>
          <w:lang w:val="sl-SI"/>
        </w:rPr>
        <w:t xml:space="preserve">(5) </w:t>
      </w:r>
      <w:r w:rsidRPr="00A36A71">
        <w:rPr>
          <w:sz w:val="20"/>
          <w:szCs w:val="20"/>
        </w:rPr>
        <w:t xml:space="preserve">Subvencija iz </w:t>
      </w:r>
      <w:r w:rsidRPr="00A36A71">
        <w:rPr>
          <w:sz w:val="20"/>
          <w:szCs w:val="20"/>
          <w:lang w:val="sl-SI"/>
        </w:rPr>
        <w:t>tretjega</w:t>
      </w:r>
      <w:r w:rsidRPr="00A36A71">
        <w:rPr>
          <w:sz w:val="20"/>
          <w:szCs w:val="20"/>
        </w:rPr>
        <w:t xml:space="preserve"> odstavka tega člena se izračuna po naslednjih formulah:</w:t>
      </w:r>
    </w:p>
    <w:p w14:paraId="7C778072" w14:textId="77777777" w:rsidR="00A36A71" w:rsidRPr="00A36A71" w:rsidRDefault="00A36A71" w:rsidP="00A36A71">
      <w:pPr>
        <w:pStyle w:val="rkovnatokazaodstavkom"/>
        <w:spacing w:line="240" w:lineRule="auto"/>
        <w:ind w:left="720" w:hanging="720"/>
      </w:pPr>
      <w:r w:rsidRPr="00A36A71">
        <w:t>(PTN – PNN) X PS = STN ali</w:t>
      </w:r>
    </w:p>
    <w:p w14:paraId="0F8786C9" w14:textId="77777777" w:rsidR="00A36A71" w:rsidRPr="00A36A71" w:rsidRDefault="00A36A71" w:rsidP="00A36A71">
      <w:pPr>
        <w:pStyle w:val="rkovnatokazaodstavkom"/>
        <w:spacing w:line="240" w:lineRule="auto"/>
        <w:ind w:left="720" w:hanging="720"/>
      </w:pPr>
      <w:r w:rsidRPr="00A36A71">
        <w:t>(DTN – PNN) X PS = STN,</w:t>
      </w:r>
    </w:p>
    <w:p w14:paraId="5D4A79C0" w14:textId="77777777" w:rsidR="00A36A71" w:rsidRPr="00A36A71" w:rsidRDefault="00A36A71" w:rsidP="00A36A71">
      <w:pPr>
        <w:pStyle w:val="Zamaknjenadolobaprvinivo"/>
        <w:spacing w:before="400"/>
        <w:rPr>
          <w:sz w:val="20"/>
          <w:szCs w:val="20"/>
          <w:lang w:val="sl-SI"/>
        </w:rPr>
      </w:pPr>
      <w:r w:rsidRPr="00A36A71">
        <w:rPr>
          <w:sz w:val="20"/>
          <w:szCs w:val="20"/>
        </w:rPr>
        <w:t>pri čemer je:</w:t>
      </w:r>
    </w:p>
    <w:p w14:paraId="0D2DA574"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PTN: priznana tržna najemnina iz 13. člena te uredbe;</w:t>
      </w:r>
    </w:p>
    <w:p w14:paraId="2B30F96E"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PNN: priznana neprofitna najemnina, določene z zakonom, ki ureja stanovanjska najemna razmerja;</w:t>
      </w:r>
    </w:p>
    <w:p w14:paraId="10DDC3D6"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PS: dejanska površina stanovanja iz najemne pogodbe, vendar ne večja kot je primerna površina iz 10. člena te uredbe;</w:t>
      </w:r>
    </w:p>
    <w:p w14:paraId="26AE982C"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DTN: dejanska tržna najemnina iz prejšnjega odstavka;</w:t>
      </w:r>
    </w:p>
    <w:p w14:paraId="1310A901"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STN: subvencija k plačilu tržne najemnine.</w:t>
      </w:r>
    </w:p>
    <w:p w14:paraId="013036C0" w14:textId="77777777" w:rsidR="00A36A71" w:rsidRPr="00A36A71" w:rsidRDefault="00A36A71" w:rsidP="00A36A71">
      <w:pPr>
        <w:pStyle w:val="len"/>
        <w:rPr>
          <w:sz w:val="20"/>
          <w:szCs w:val="20"/>
        </w:rPr>
      </w:pPr>
      <w:r w:rsidRPr="00A36A71">
        <w:rPr>
          <w:sz w:val="20"/>
          <w:szCs w:val="20"/>
          <w:lang w:val="sl-SI"/>
        </w:rPr>
        <w:t>13</w:t>
      </w:r>
      <w:r w:rsidRPr="00A36A71">
        <w:rPr>
          <w:sz w:val="20"/>
          <w:szCs w:val="20"/>
        </w:rPr>
        <w:t>. člen</w:t>
      </w:r>
    </w:p>
    <w:p w14:paraId="31B11DBF" w14:textId="77777777" w:rsidR="00A36A71" w:rsidRPr="00A36A71" w:rsidRDefault="00A36A71" w:rsidP="00A36A71">
      <w:pPr>
        <w:pStyle w:val="Alineazaodstavkom"/>
        <w:tabs>
          <w:tab w:val="clear" w:pos="360"/>
        </w:tabs>
        <w:ind w:left="0" w:firstLine="0"/>
        <w:rPr>
          <w:sz w:val="20"/>
          <w:szCs w:val="20"/>
        </w:rPr>
      </w:pPr>
    </w:p>
    <w:p w14:paraId="72CEF27D" w14:textId="77777777" w:rsidR="00A36A71" w:rsidRPr="00A36A71" w:rsidRDefault="00A36A71" w:rsidP="00A36A71">
      <w:pPr>
        <w:pStyle w:val="Odstavek"/>
        <w:rPr>
          <w:sz w:val="20"/>
          <w:szCs w:val="20"/>
          <w:lang w:val="sl-SI"/>
        </w:rPr>
      </w:pPr>
      <w:r w:rsidRPr="00A36A71">
        <w:rPr>
          <w:sz w:val="20"/>
          <w:szCs w:val="20"/>
          <w:lang w:val="sl-SI"/>
        </w:rPr>
        <w:t>Najvišje priznane tržne najemnine za kvadratni meter stanovanjske površine, upoštevaje delitev države na statistične regije, znašajo:</w:t>
      </w:r>
    </w:p>
    <w:p w14:paraId="0839A368" w14:textId="77777777" w:rsidR="00A36A71" w:rsidRPr="00A36A71" w:rsidRDefault="00A36A71" w:rsidP="00A36A71">
      <w:pPr>
        <w:pStyle w:val="Odstavek"/>
        <w:rPr>
          <w:sz w:val="20"/>
          <w:szCs w:val="20"/>
          <w:lang w:val="sl-SI"/>
        </w:rPr>
      </w:pPr>
    </w:p>
    <w:tbl>
      <w:tblPr>
        <w:tblW w:w="6345" w:type="dxa"/>
        <w:jc w:val="center"/>
        <w:tblCellMar>
          <w:left w:w="0" w:type="dxa"/>
          <w:right w:w="0" w:type="dxa"/>
        </w:tblCellMar>
        <w:tblLook w:val="04A0" w:firstRow="1" w:lastRow="0" w:firstColumn="1" w:lastColumn="0" w:noHBand="0" w:noVBand="1"/>
      </w:tblPr>
      <w:tblGrid>
        <w:gridCol w:w="2943"/>
        <w:gridCol w:w="3402"/>
      </w:tblGrid>
      <w:tr w:rsidR="00A36A71" w:rsidRPr="00A36A71" w14:paraId="7AEF16A1" w14:textId="77777777" w:rsidTr="002C6A27">
        <w:trPr>
          <w:jc w:val="center"/>
        </w:trPr>
        <w:tc>
          <w:tcPr>
            <w:tcW w:w="29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3E7D90" w14:textId="77777777" w:rsidR="00A36A71" w:rsidRPr="00A36A71" w:rsidRDefault="00A36A71" w:rsidP="002C6A27">
            <w:pPr>
              <w:jc w:val="center"/>
              <w:rPr>
                <w:rFonts w:cs="Arial"/>
                <w:color w:val="000000"/>
                <w:szCs w:val="20"/>
              </w:rPr>
            </w:pPr>
            <w:r w:rsidRPr="00A36A71">
              <w:rPr>
                <w:rFonts w:cs="Arial"/>
                <w:color w:val="000000"/>
                <w:szCs w:val="20"/>
              </w:rPr>
              <w:t>REGIJA</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663BA4E" w14:textId="77777777" w:rsidR="00A36A71" w:rsidRPr="00A36A71" w:rsidRDefault="00A36A71" w:rsidP="002C6A27">
            <w:pPr>
              <w:jc w:val="center"/>
              <w:rPr>
                <w:rFonts w:cs="Arial"/>
                <w:color w:val="000000"/>
                <w:szCs w:val="20"/>
              </w:rPr>
            </w:pPr>
            <w:r w:rsidRPr="00A36A71">
              <w:rPr>
                <w:rFonts w:cs="Arial"/>
                <w:color w:val="000000"/>
                <w:szCs w:val="20"/>
              </w:rPr>
              <w:t>Priznana tržna najemnina za m</w:t>
            </w:r>
            <w:r w:rsidRPr="00A36A71">
              <w:rPr>
                <w:rFonts w:cs="Arial"/>
                <w:color w:val="000000"/>
                <w:szCs w:val="20"/>
                <w:vertAlign w:val="superscript"/>
              </w:rPr>
              <w:t>2</w:t>
            </w:r>
            <w:r w:rsidRPr="00A36A71">
              <w:rPr>
                <w:rFonts w:cs="Arial"/>
                <w:color w:val="000000"/>
                <w:szCs w:val="20"/>
              </w:rPr>
              <w:t> stanovanjske površine (v eurih)</w:t>
            </w:r>
          </w:p>
        </w:tc>
      </w:tr>
      <w:tr w:rsidR="00A36A71" w:rsidRPr="00A36A71" w14:paraId="6BE3C179"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440597" w14:textId="77777777" w:rsidR="00A36A71" w:rsidRPr="00A36A71" w:rsidRDefault="00A36A71" w:rsidP="002C6A27">
            <w:pPr>
              <w:jc w:val="center"/>
              <w:rPr>
                <w:rFonts w:cs="Arial"/>
                <w:color w:val="000000"/>
                <w:szCs w:val="20"/>
              </w:rPr>
            </w:pPr>
            <w:r w:rsidRPr="00A36A71">
              <w:rPr>
                <w:rFonts w:cs="Arial"/>
                <w:color w:val="000000"/>
                <w:szCs w:val="20"/>
              </w:rPr>
              <w:t>Osrednjeslovenska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97494B" w14:textId="77777777" w:rsidR="00A36A71" w:rsidRPr="00A36A71" w:rsidRDefault="00A36A71" w:rsidP="002C6A27">
            <w:pPr>
              <w:jc w:val="center"/>
              <w:rPr>
                <w:rFonts w:cs="Arial"/>
                <w:color w:val="000000"/>
                <w:szCs w:val="20"/>
              </w:rPr>
            </w:pPr>
            <w:r w:rsidRPr="00A36A71">
              <w:rPr>
                <w:rFonts w:cs="Arial"/>
                <w:color w:val="000000"/>
                <w:szCs w:val="20"/>
              </w:rPr>
              <w:t>7,0</w:t>
            </w:r>
          </w:p>
        </w:tc>
      </w:tr>
      <w:tr w:rsidR="00A36A71" w:rsidRPr="00A36A71" w14:paraId="5F75AD14"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822922" w14:textId="77777777" w:rsidR="00A36A71" w:rsidRPr="00A36A71" w:rsidRDefault="00A36A71" w:rsidP="002C6A27">
            <w:pPr>
              <w:jc w:val="center"/>
              <w:rPr>
                <w:rFonts w:cs="Arial"/>
                <w:color w:val="000000"/>
                <w:szCs w:val="20"/>
              </w:rPr>
            </w:pPr>
            <w:r w:rsidRPr="00A36A71">
              <w:rPr>
                <w:rFonts w:cs="Arial"/>
                <w:color w:val="000000"/>
                <w:szCs w:val="20"/>
              </w:rPr>
              <w:t>Obalno-kraška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B70BFA9" w14:textId="77777777" w:rsidR="00A36A71" w:rsidRPr="00A36A71" w:rsidRDefault="00A36A71" w:rsidP="002C6A27">
            <w:pPr>
              <w:jc w:val="center"/>
              <w:rPr>
                <w:rFonts w:cs="Arial"/>
                <w:color w:val="000000"/>
                <w:szCs w:val="20"/>
              </w:rPr>
            </w:pPr>
            <w:r w:rsidRPr="00A36A71">
              <w:rPr>
                <w:rFonts w:cs="Arial"/>
                <w:color w:val="000000"/>
                <w:szCs w:val="20"/>
              </w:rPr>
              <w:t>6,5</w:t>
            </w:r>
          </w:p>
        </w:tc>
      </w:tr>
      <w:tr w:rsidR="00A36A71" w:rsidRPr="00A36A71" w14:paraId="33608AD7"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7DCDAE" w14:textId="77777777" w:rsidR="00A36A71" w:rsidRPr="00A36A71" w:rsidRDefault="00A36A71" w:rsidP="002C6A27">
            <w:pPr>
              <w:jc w:val="center"/>
              <w:rPr>
                <w:rFonts w:cs="Arial"/>
                <w:color w:val="000000"/>
                <w:szCs w:val="20"/>
              </w:rPr>
            </w:pPr>
            <w:r w:rsidRPr="00A36A71">
              <w:rPr>
                <w:rFonts w:cs="Arial"/>
                <w:color w:val="000000"/>
                <w:szCs w:val="20"/>
              </w:rPr>
              <w:t>Goriška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54857E4" w14:textId="77777777" w:rsidR="00A36A71" w:rsidRPr="00A36A71" w:rsidRDefault="00A36A71" w:rsidP="002C6A27">
            <w:pPr>
              <w:jc w:val="center"/>
              <w:rPr>
                <w:rFonts w:cs="Arial"/>
                <w:color w:val="000000"/>
                <w:szCs w:val="20"/>
              </w:rPr>
            </w:pPr>
            <w:r w:rsidRPr="00A36A71">
              <w:rPr>
                <w:rFonts w:cs="Arial"/>
                <w:color w:val="000000"/>
                <w:szCs w:val="20"/>
              </w:rPr>
              <w:t>6,5</w:t>
            </w:r>
          </w:p>
        </w:tc>
      </w:tr>
      <w:tr w:rsidR="00A36A71" w:rsidRPr="00A36A71" w14:paraId="5CDFD992"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BB18C0" w14:textId="77777777" w:rsidR="00A36A71" w:rsidRPr="00A36A71" w:rsidRDefault="00A36A71" w:rsidP="002C6A27">
            <w:pPr>
              <w:jc w:val="center"/>
              <w:rPr>
                <w:rFonts w:cs="Arial"/>
                <w:color w:val="000000"/>
                <w:szCs w:val="20"/>
              </w:rPr>
            </w:pPr>
            <w:r w:rsidRPr="00A36A71">
              <w:rPr>
                <w:rFonts w:cs="Arial"/>
                <w:color w:val="000000"/>
                <w:szCs w:val="20"/>
              </w:rPr>
              <w:t>Podravska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9B12B88" w14:textId="77777777" w:rsidR="00A36A71" w:rsidRPr="00A36A71" w:rsidRDefault="00A36A71" w:rsidP="002C6A27">
            <w:pPr>
              <w:jc w:val="center"/>
              <w:rPr>
                <w:rFonts w:cs="Arial"/>
                <w:color w:val="000000"/>
                <w:szCs w:val="20"/>
              </w:rPr>
            </w:pPr>
            <w:r w:rsidRPr="00A36A71">
              <w:rPr>
                <w:rFonts w:cs="Arial"/>
                <w:color w:val="000000"/>
                <w:szCs w:val="20"/>
              </w:rPr>
              <w:t>6,0</w:t>
            </w:r>
          </w:p>
        </w:tc>
      </w:tr>
      <w:tr w:rsidR="00A36A71" w:rsidRPr="00A36A71" w14:paraId="414BE502"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AA95BA" w14:textId="77777777" w:rsidR="00A36A71" w:rsidRPr="00A36A71" w:rsidRDefault="00A36A71" w:rsidP="002C6A27">
            <w:pPr>
              <w:jc w:val="center"/>
              <w:rPr>
                <w:rFonts w:cs="Arial"/>
                <w:color w:val="000000"/>
                <w:szCs w:val="20"/>
              </w:rPr>
            </w:pPr>
            <w:r w:rsidRPr="00A36A71">
              <w:rPr>
                <w:rFonts w:cs="Arial"/>
                <w:color w:val="000000"/>
                <w:szCs w:val="20"/>
              </w:rPr>
              <w:t>Gorenjska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53EB253" w14:textId="77777777" w:rsidR="00A36A71" w:rsidRPr="00A36A71" w:rsidRDefault="00A36A71" w:rsidP="002C6A27">
            <w:pPr>
              <w:jc w:val="center"/>
              <w:rPr>
                <w:rFonts w:cs="Arial"/>
                <w:color w:val="000000"/>
                <w:szCs w:val="20"/>
              </w:rPr>
            </w:pPr>
            <w:r w:rsidRPr="00A36A71">
              <w:rPr>
                <w:rFonts w:cs="Arial"/>
                <w:color w:val="000000"/>
                <w:szCs w:val="20"/>
              </w:rPr>
              <w:t>5,5</w:t>
            </w:r>
          </w:p>
        </w:tc>
      </w:tr>
      <w:tr w:rsidR="00A36A71" w:rsidRPr="00A36A71" w14:paraId="6202C702"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9D42D0" w14:textId="77777777" w:rsidR="00A36A71" w:rsidRPr="00A36A71" w:rsidRDefault="00A36A71" w:rsidP="002C6A27">
            <w:pPr>
              <w:jc w:val="center"/>
              <w:rPr>
                <w:rFonts w:cs="Arial"/>
                <w:color w:val="000000"/>
                <w:szCs w:val="20"/>
              </w:rPr>
            </w:pPr>
            <w:r w:rsidRPr="00A36A71">
              <w:rPr>
                <w:rFonts w:cs="Arial"/>
                <w:color w:val="000000"/>
                <w:szCs w:val="20"/>
              </w:rPr>
              <w:t>Savinjska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718EB2D" w14:textId="77777777" w:rsidR="00A36A71" w:rsidRPr="00A36A71" w:rsidRDefault="00A36A71" w:rsidP="002C6A27">
            <w:pPr>
              <w:jc w:val="center"/>
              <w:rPr>
                <w:rFonts w:cs="Arial"/>
                <w:color w:val="000000"/>
                <w:szCs w:val="20"/>
              </w:rPr>
            </w:pPr>
            <w:r w:rsidRPr="00A36A71">
              <w:rPr>
                <w:rFonts w:cs="Arial"/>
                <w:color w:val="000000"/>
                <w:szCs w:val="20"/>
              </w:rPr>
              <w:t>5,0</w:t>
            </w:r>
          </w:p>
        </w:tc>
      </w:tr>
      <w:tr w:rsidR="00A36A71" w:rsidRPr="00A36A71" w14:paraId="453C1D29"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997145" w14:textId="77777777" w:rsidR="00A36A71" w:rsidRPr="00A36A71" w:rsidRDefault="00A36A71" w:rsidP="002C6A27">
            <w:pPr>
              <w:jc w:val="center"/>
              <w:rPr>
                <w:rFonts w:cs="Arial"/>
                <w:color w:val="000000"/>
                <w:szCs w:val="20"/>
              </w:rPr>
            </w:pPr>
            <w:r w:rsidRPr="00A36A71">
              <w:rPr>
                <w:rFonts w:cs="Arial"/>
                <w:color w:val="000000"/>
                <w:szCs w:val="20"/>
              </w:rPr>
              <w:t>Jugovzhodna Slovenija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5C9B19DD" w14:textId="77777777" w:rsidR="00A36A71" w:rsidRPr="00A36A71" w:rsidRDefault="00A36A71" w:rsidP="002C6A27">
            <w:pPr>
              <w:jc w:val="center"/>
              <w:rPr>
                <w:rFonts w:cs="Arial"/>
                <w:color w:val="000000"/>
                <w:szCs w:val="20"/>
              </w:rPr>
            </w:pPr>
            <w:r w:rsidRPr="00A36A71">
              <w:rPr>
                <w:rFonts w:cs="Arial"/>
                <w:color w:val="000000"/>
                <w:szCs w:val="20"/>
              </w:rPr>
              <w:t>5,0</w:t>
            </w:r>
          </w:p>
        </w:tc>
      </w:tr>
      <w:tr w:rsidR="00A36A71" w:rsidRPr="00A36A71" w14:paraId="2DC5889E"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377A9F" w14:textId="77777777" w:rsidR="00A36A71" w:rsidRPr="00A36A71" w:rsidRDefault="00A36A71" w:rsidP="002C6A27">
            <w:pPr>
              <w:jc w:val="center"/>
              <w:rPr>
                <w:rFonts w:cs="Arial"/>
                <w:color w:val="000000"/>
                <w:szCs w:val="20"/>
              </w:rPr>
            </w:pPr>
            <w:r w:rsidRPr="00A36A71">
              <w:rPr>
                <w:rFonts w:cs="Arial"/>
                <w:color w:val="000000"/>
                <w:szCs w:val="20"/>
              </w:rPr>
              <w:t>Spodnje posavska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167FF9A" w14:textId="77777777" w:rsidR="00A36A71" w:rsidRPr="00A36A71" w:rsidRDefault="00A36A71" w:rsidP="002C6A27">
            <w:pPr>
              <w:jc w:val="center"/>
              <w:rPr>
                <w:rFonts w:cs="Arial"/>
                <w:color w:val="000000"/>
                <w:szCs w:val="20"/>
              </w:rPr>
            </w:pPr>
            <w:r w:rsidRPr="00A36A71">
              <w:rPr>
                <w:rFonts w:cs="Arial"/>
                <w:color w:val="000000"/>
                <w:szCs w:val="20"/>
              </w:rPr>
              <w:t>4,0</w:t>
            </w:r>
          </w:p>
        </w:tc>
      </w:tr>
      <w:tr w:rsidR="00A36A71" w:rsidRPr="00A36A71" w14:paraId="6E52F16C"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16EECB" w14:textId="77777777" w:rsidR="00A36A71" w:rsidRPr="00A36A71" w:rsidRDefault="00A36A71" w:rsidP="002C6A27">
            <w:pPr>
              <w:jc w:val="center"/>
              <w:rPr>
                <w:rFonts w:cs="Arial"/>
                <w:color w:val="000000"/>
                <w:szCs w:val="20"/>
              </w:rPr>
            </w:pPr>
            <w:r w:rsidRPr="00A36A71">
              <w:rPr>
                <w:rFonts w:cs="Arial"/>
                <w:color w:val="000000"/>
                <w:szCs w:val="20"/>
              </w:rPr>
              <w:t>Koroška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0D3899C" w14:textId="77777777" w:rsidR="00A36A71" w:rsidRPr="00A36A71" w:rsidRDefault="00A36A71" w:rsidP="002C6A27">
            <w:pPr>
              <w:jc w:val="center"/>
              <w:rPr>
                <w:rFonts w:cs="Arial"/>
                <w:color w:val="000000"/>
                <w:szCs w:val="20"/>
              </w:rPr>
            </w:pPr>
            <w:r w:rsidRPr="00A36A71">
              <w:rPr>
                <w:rFonts w:cs="Arial"/>
                <w:color w:val="000000"/>
                <w:szCs w:val="20"/>
              </w:rPr>
              <w:t>4,0</w:t>
            </w:r>
          </w:p>
        </w:tc>
      </w:tr>
      <w:tr w:rsidR="00A36A71" w:rsidRPr="00A36A71" w14:paraId="265E6ADB"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04AE92" w14:textId="77777777" w:rsidR="00A36A71" w:rsidRPr="00A36A71" w:rsidRDefault="00A36A71" w:rsidP="002C6A27">
            <w:pPr>
              <w:jc w:val="center"/>
              <w:rPr>
                <w:rFonts w:cs="Arial"/>
                <w:color w:val="000000"/>
                <w:szCs w:val="20"/>
              </w:rPr>
            </w:pPr>
            <w:r w:rsidRPr="00A36A71">
              <w:rPr>
                <w:rFonts w:cs="Arial"/>
                <w:color w:val="000000"/>
                <w:szCs w:val="20"/>
              </w:rPr>
              <w:t>Notranjsko-kraška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71AA1E6F" w14:textId="77777777" w:rsidR="00A36A71" w:rsidRPr="00A36A71" w:rsidRDefault="00A36A71" w:rsidP="002C6A27">
            <w:pPr>
              <w:jc w:val="center"/>
              <w:rPr>
                <w:rFonts w:cs="Arial"/>
                <w:color w:val="000000"/>
                <w:szCs w:val="20"/>
              </w:rPr>
            </w:pPr>
            <w:r w:rsidRPr="00A36A71">
              <w:rPr>
                <w:rFonts w:cs="Arial"/>
                <w:color w:val="000000"/>
                <w:szCs w:val="20"/>
              </w:rPr>
              <w:t>4,0</w:t>
            </w:r>
          </w:p>
        </w:tc>
      </w:tr>
      <w:tr w:rsidR="00A36A71" w:rsidRPr="00A36A71" w14:paraId="202EB7D6"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362802" w14:textId="77777777" w:rsidR="00A36A71" w:rsidRPr="00A36A71" w:rsidRDefault="00A36A71" w:rsidP="002C6A27">
            <w:pPr>
              <w:jc w:val="center"/>
              <w:rPr>
                <w:rFonts w:cs="Arial"/>
                <w:color w:val="000000"/>
                <w:szCs w:val="20"/>
              </w:rPr>
            </w:pPr>
            <w:r w:rsidRPr="00A36A71">
              <w:rPr>
                <w:rFonts w:cs="Arial"/>
                <w:color w:val="000000"/>
                <w:szCs w:val="20"/>
              </w:rPr>
              <w:t>Pomurska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BA97D0A" w14:textId="77777777" w:rsidR="00A36A71" w:rsidRPr="00A36A71" w:rsidRDefault="00A36A71" w:rsidP="002C6A27">
            <w:pPr>
              <w:jc w:val="center"/>
              <w:rPr>
                <w:rFonts w:cs="Arial"/>
                <w:color w:val="000000"/>
                <w:szCs w:val="20"/>
              </w:rPr>
            </w:pPr>
            <w:r w:rsidRPr="00A36A71">
              <w:rPr>
                <w:rFonts w:cs="Arial"/>
                <w:color w:val="000000"/>
                <w:szCs w:val="20"/>
              </w:rPr>
              <w:t>4,0</w:t>
            </w:r>
          </w:p>
        </w:tc>
      </w:tr>
      <w:tr w:rsidR="00A36A71" w:rsidRPr="00A36A71" w14:paraId="206C132C" w14:textId="77777777" w:rsidTr="002C6A27">
        <w:trPr>
          <w:jc w:val="center"/>
        </w:trPr>
        <w:tc>
          <w:tcPr>
            <w:tcW w:w="29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4F3FFE" w14:textId="77777777" w:rsidR="00A36A71" w:rsidRPr="00A36A71" w:rsidRDefault="00A36A71" w:rsidP="002C6A27">
            <w:pPr>
              <w:jc w:val="center"/>
              <w:rPr>
                <w:rFonts w:cs="Arial"/>
                <w:color w:val="000000"/>
                <w:szCs w:val="20"/>
              </w:rPr>
            </w:pPr>
            <w:r w:rsidRPr="00A36A71">
              <w:rPr>
                <w:rFonts w:cs="Arial"/>
                <w:color w:val="000000"/>
                <w:szCs w:val="20"/>
              </w:rPr>
              <w:t>Zasavska</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A56D667" w14:textId="77777777" w:rsidR="00A36A71" w:rsidRPr="00A36A71" w:rsidRDefault="00A36A71" w:rsidP="002C6A27">
            <w:pPr>
              <w:jc w:val="center"/>
              <w:rPr>
                <w:rFonts w:cs="Arial"/>
                <w:color w:val="000000"/>
                <w:szCs w:val="20"/>
              </w:rPr>
            </w:pPr>
            <w:r w:rsidRPr="00A36A71">
              <w:rPr>
                <w:rFonts w:cs="Arial"/>
                <w:color w:val="000000"/>
                <w:szCs w:val="20"/>
              </w:rPr>
              <w:t>4,0</w:t>
            </w:r>
          </w:p>
        </w:tc>
      </w:tr>
    </w:tbl>
    <w:p w14:paraId="6D284C15" w14:textId="77777777" w:rsidR="00A36A71" w:rsidRPr="00A36A71" w:rsidRDefault="00A36A71" w:rsidP="00A36A71">
      <w:pPr>
        <w:pStyle w:val="Odstavek"/>
        <w:ind w:firstLine="0"/>
        <w:jc w:val="center"/>
        <w:rPr>
          <w:sz w:val="20"/>
          <w:szCs w:val="20"/>
          <w:lang w:val="sl-SI"/>
        </w:rPr>
      </w:pPr>
      <w:r w:rsidRPr="00A36A71">
        <w:rPr>
          <w:sz w:val="20"/>
          <w:szCs w:val="20"/>
          <w:lang w:val="sl-SI"/>
        </w:rPr>
        <w:t>III. PREHODNE IN KONČNE DOLOČBE</w:t>
      </w:r>
    </w:p>
    <w:p w14:paraId="3DFBBE4F" w14:textId="77777777" w:rsidR="00A36A71" w:rsidRDefault="00A36A71" w:rsidP="00A36A71">
      <w:pPr>
        <w:pStyle w:val="len"/>
        <w:rPr>
          <w:sz w:val="20"/>
          <w:szCs w:val="20"/>
          <w:lang w:val="sl-SI"/>
        </w:rPr>
      </w:pPr>
      <w:r w:rsidRPr="00A36A71">
        <w:rPr>
          <w:sz w:val="20"/>
          <w:szCs w:val="20"/>
          <w:lang w:val="sl-SI"/>
        </w:rPr>
        <w:t>14. člen</w:t>
      </w:r>
    </w:p>
    <w:p w14:paraId="7DC0C020" w14:textId="77777777" w:rsidR="00985C7D" w:rsidRPr="00985C7D" w:rsidRDefault="00985C7D" w:rsidP="00985C7D">
      <w:r>
        <w:lastRenderedPageBreak/>
        <w:t>Do objave podatkov iz 4. odstavka 6. člena te uredbe v prostorskem informacijskem sistemu iz zakona, ki ureja prostor, so podatki dostopni na ministrstvu pristojnem za prostor.</w:t>
      </w:r>
    </w:p>
    <w:p w14:paraId="66978D40" w14:textId="77777777" w:rsidR="00336650" w:rsidRPr="00A36A71" w:rsidRDefault="00336650" w:rsidP="00336650">
      <w:pPr>
        <w:pStyle w:val="len"/>
        <w:rPr>
          <w:sz w:val="20"/>
          <w:szCs w:val="20"/>
          <w:lang w:val="sl-SI"/>
        </w:rPr>
      </w:pPr>
      <w:r w:rsidRPr="00A36A71">
        <w:rPr>
          <w:sz w:val="20"/>
          <w:szCs w:val="20"/>
          <w:lang w:val="sl-SI"/>
        </w:rPr>
        <w:t>1</w:t>
      </w:r>
      <w:r>
        <w:rPr>
          <w:sz w:val="20"/>
          <w:szCs w:val="20"/>
          <w:lang w:val="sl-SI"/>
        </w:rPr>
        <w:t>5</w:t>
      </w:r>
      <w:r w:rsidRPr="00A36A71">
        <w:rPr>
          <w:sz w:val="20"/>
          <w:szCs w:val="20"/>
          <w:lang w:val="sl-SI"/>
        </w:rPr>
        <w:t>. člen</w:t>
      </w:r>
    </w:p>
    <w:p w14:paraId="5F12B361" w14:textId="77777777" w:rsidR="00A36A71" w:rsidRPr="00A36A71" w:rsidRDefault="00A36A71" w:rsidP="00A36A71">
      <w:pPr>
        <w:pStyle w:val="Odstavek"/>
        <w:rPr>
          <w:sz w:val="20"/>
          <w:szCs w:val="20"/>
          <w:lang w:val="sl-SI"/>
        </w:rPr>
      </w:pPr>
      <w:r w:rsidRPr="00A36A71">
        <w:rPr>
          <w:sz w:val="20"/>
          <w:szCs w:val="20"/>
          <w:lang w:val="sl-SI"/>
        </w:rPr>
        <w:t>Najemodajalci najemnikom, ki imajo na dan začetka uporabe tega zakona z najemodajalcem sklenjeno najemno pogodbo za neprofitno najemnino, zaračunavajo od 1. novembra 2021 neprofitno najemnino z lokacijskim faktorjem določenim v skladu s 6. členom te uredbe. O izračunu neprofitne najemnine z uporabo lokacijskega faktorja najemodajalci obvestijo najemnike na način iz drugega odstavka 7. člena te uredbe najkasneje do 20. oktobra 2021. Najemnik iz tega člena lahko preveri pravilnost izračuna neprofitna najemnine in postopa po tretjem odstavku 7. člena te uredbe.</w:t>
      </w:r>
    </w:p>
    <w:p w14:paraId="6B7875FD" w14:textId="77777777" w:rsidR="00A36A71" w:rsidRPr="00A36A71" w:rsidRDefault="00A36A71" w:rsidP="00A36A71">
      <w:pPr>
        <w:pStyle w:val="len"/>
        <w:rPr>
          <w:sz w:val="20"/>
          <w:szCs w:val="20"/>
          <w:lang w:val="sl-SI"/>
        </w:rPr>
      </w:pPr>
      <w:r w:rsidRPr="00A36A71">
        <w:rPr>
          <w:sz w:val="20"/>
          <w:szCs w:val="20"/>
          <w:lang w:val="sl-SI"/>
        </w:rPr>
        <w:t>1</w:t>
      </w:r>
      <w:r w:rsidR="00336650">
        <w:rPr>
          <w:sz w:val="20"/>
          <w:szCs w:val="20"/>
          <w:lang w:val="sl-SI"/>
        </w:rPr>
        <w:t>6</w:t>
      </w:r>
      <w:r w:rsidRPr="00A36A71">
        <w:rPr>
          <w:sz w:val="20"/>
          <w:szCs w:val="20"/>
          <w:lang w:val="sl-SI"/>
        </w:rPr>
        <w:t>. člen</w:t>
      </w:r>
    </w:p>
    <w:p w14:paraId="07535E61" w14:textId="77777777" w:rsidR="00A36A71" w:rsidRPr="00A36A71" w:rsidRDefault="00A36A71" w:rsidP="00A36A71">
      <w:pPr>
        <w:pStyle w:val="Odstavek"/>
        <w:rPr>
          <w:sz w:val="20"/>
          <w:szCs w:val="20"/>
          <w:lang w:val="sl-SI"/>
        </w:rPr>
      </w:pPr>
      <w:r w:rsidRPr="00A36A71">
        <w:rPr>
          <w:sz w:val="20"/>
          <w:szCs w:val="20"/>
          <w:lang w:val="sl-SI"/>
        </w:rPr>
        <w:t>(1) Za namen uskladitve subvencije najemnine po določbah zakona, ki ureja stanovanjska najemna razmerja, najemodajalec sporoči centru za socialno delo najkasneje do 20. oktobra 2021 podatek o lokacijskem faktorju za najemnike, ki so na dan uveljavitve te uredbe upravičeni do subvencije neprofitne najemnine.</w:t>
      </w:r>
    </w:p>
    <w:p w14:paraId="24585F45" w14:textId="77777777" w:rsidR="00A36A71" w:rsidRPr="00A36A71" w:rsidRDefault="00A36A71" w:rsidP="00A36A71">
      <w:pPr>
        <w:pStyle w:val="Odstavek"/>
        <w:rPr>
          <w:sz w:val="20"/>
          <w:szCs w:val="20"/>
          <w:lang w:val="sl-SI"/>
        </w:rPr>
      </w:pPr>
      <w:r w:rsidRPr="00A36A71">
        <w:rPr>
          <w:sz w:val="20"/>
          <w:szCs w:val="20"/>
          <w:lang w:val="sl-SI"/>
        </w:rPr>
        <w:t>(2) Ne glede na določbe zakona, ki ureja pravice iz javnih sredstev, najemniki neprofitnega stanovanja, ki še nimajo sklenjene pogodbe s podatki iz 7. člena te uredbe, ob uveljavljanju subvencije najemnine priložijo vlogi poleg prilog iz zakona, ki ureja pravice iz javnih sredstev, tudi obvestilo iz prejšnjega člena.</w:t>
      </w:r>
    </w:p>
    <w:p w14:paraId="6D4B9E19" w14:textId="77777777" w:rsidR="00A36A71" w:rsidRPr="00A36A71" w:rsidRDefault="00A36A71" w:rsidP="00A36A71">
      <w:pPr>
        <w:pStyle w:val="len"/>
        <w:rPr>
          <w:sz w:val="20"/>
          <w:szCs w:val="20"/>
          <w:lang w:val="sl-SI"/>
        </w:rPr>
      </w:pPr>
      <w:r w:rsidRPr="00A36A71">
        <w:rPr>
          <w:sz w:val="20"/>
          <w:szCs w:val="20"/>
          <w:lang w:val="sl-SI"/>
        </w:rPr>
        <w:t>1</w:t>
      </w:r>
      <w:r w:rsidR="00336650">
        <w:rPr>
          <w:sz w:val="20"/>
          <w:szCs w:val="20"/>
          <w:lang w:val="sl-SI"/>
        </w:rPr>
        <w:t>7</w:t>
      </w:r>
      <w:r w:rsidRPr="00A36A71">
        <w:rPr>
          <w:sz w:val="20"/>
          <w:szCs w:val="20"/>
          <w:lang w:val="sl-SI"/>
        </w:rPr>
        <w:t>. člen</w:t>
      </w:r>
    </w:p>
    <w:p w14:paraId="08FD2297" w14:textId="77777777" w:rsidR="00A36A71" w:rsidRPr="00A36A71" w:rsidRDefault="00A36A71" w:rsidP="00A36A71">
      <w:pPr>
        <w:pStyle w:val="Odstavek"/>
        <w:rPr>
          <w:sz w:val="20"/>
          <w:szCs w:val="20"/>
          <w:lang w:val="sl-SI"/>
        </w:rPr>
      </w:pPr>
      <w:r w:rsidRPr="00A36A71">
        <w:rPr>
          <w:sz w:val="20"/>
          <w:szCs w:val="20"/>
          <w:lang w:val="sl-SI"/>
        </w:rPr>
        <w:t>Z  uveljavitvijo te uredbe prenehajo veljati peti, šesti in sedmi odstavek 14. člena Pravilnika o dodeljevanju neprofitnih stanovanj v najem (Uradni list RS, št. 14/04, 34/04, 62/06, 11/09, 81/11 in 47/14).</w:t>
      </w:r>
    </w:p>
    <w:p w14:paraId="7224B7EB" w14:textId="77777777" w:rsidR="00A36A71" w:rsidRPr="00A36A71" w:rsidRDefault="00A36A71" w:rsidP="00A36A71">
      <w:pPr>
        <w:pStyle w:val="len"/>
        <w:rPr>
          <w:sz w:val="20"/>
          <w:szCs w:val="20"/>
        </w:rPr>
      </w:pPr>
      <w:r w:rsidRPr="00A36A71">
        <w:rPr>
          <w:sz w:val="20"/>
          <w:szCs w:val="20"/>
          <w:lang w:val="sl-SI"/>
        </w:rPr>
        <w:t>1</w:t>
      </w:r>
      <w:r w:rsidR="00336650">
        <w:rPr>
          <w:sz w:val="20"/>
          <w:szCs w:val="20"/>
          <w:lang w:val="sl-SI"/>
        </w:rPr>
        <w:t>8</w:t>
      </w:r>
      <w:r w:rsidRPr="00A36A71">
        <w:rPr>
          <w:sz w:val="20"/>
          <w:szCs w:val="20"/>
        </w:rPr>
        <w:t>. člen</w:t>
      </w:r>
    </w:p>
    <w:p w14:paraId="05B0B400" w14:textId="77777777" w:rsidR="00A36A71" w:rsidRPr="00A36A71" w:rsidRDefault="00A36A71" w:rsidP="00A36A71">
      <w:pPr>
        <w:pStyle w:val="Odstavek"/>
        <w:rPr>
          <w:sz w:val="20"/>
          <w:szCs w:val="20"/>
          <w:lang w:val="sl-SI"/>
        </w:rPr>
      </w:pPr>
      <w:r w:rsidRPr="00A36A71">
        <w:rPr>
          <w:sz w:val="20"/>
          <w:szCs w:val="20"/>
          <w:lang w:val="sl-SI"/>
        </w:rPr>
        <w:t>Z  uveljavitvijo te uredbe prenehata veljati:</w:t>
      </w:r>
    </w:p>
    <w:p w14:paraId="66F620C4"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Pravilnik o podrobnejših pogojih, merilih in postopku za dodelitev subvencij mladim družinam za najem tržnih stanovanj (Uradni list RS, št. </w:t>
      </w:r>
      <w:hyperlink r:id="rId12" w:tgtFrame="_blank" w:tooltip="Pravilnik o podrobnejših pogojih, merilih in postopku za dodelitev subvencij mladim družinam za najem tržnih stanovanj" w:history="1">
        <w:r w:rsidRPr="00A36A71">
          <w:rPr>
            <w:sz w:val="20"/>
            <w:szCs w:val="20"/>
          </w:rPr>
          <w:t>66/07</w:t>
        </w:r>
      </w:hyperlink>
      <w:r w:rsidRPr="00A36A71">
        <w:rPr>
          <w:sz w:val="20"/>
          <w:szCs w:val="20"/>
        </w:rPr>
        <w:t> in </w:t>
      </w:r>
      <w:hyperlink r:id="rId13" w:tgtFrame="_blank" w:tooltip="Zakon za uravnoteženje javnih financ" w:history="1">
        <w:r w:rsidRPr="00A36A71">
          <w:rPr>
            <w:sz w:val="20"/>
            <w:szCs w:val="20"/>
          </w:rPr>
          <w:t>40/12</w:t>
        </w:r>
      </w:hyperlink>
      <w:r w:rsidRPr="00A36A71">
        <w:rPr>
          <w:sz w:val="20"/>
          <w:szCs w:val="20"/>
        </w:rPr>
        <w:t> – ZUJF) in</w:t>
      </w:r>
    </w:p>
    <w:p w14:paraId="0B53E4F6" w14:textId="77777777" w:rsidR="00A36A71" w:rsidRPr="00A36A71" w:rsidRDefault="00A36A71" w:rsidP="00A36A71">
      <w:pPr>
        <w:pStyle w:val="Alineazaodstavkom"/>
        <w:numPr>
          <w:ilvl w:val="0"/>
          <w:numId w:val="35"/>
        </w:numPr>
        <w:tabs>
          <w:tab w:val="left" w:pos="540"/>
          <w:tab w:val="left" w:pos="900"/>
        </w:tabs>
        <w:overflowPunct/>
        <w:autoSpaceDE/>
        <w:autoSpaceDN/>
        <w:adjustRightInd/>
        <w:spacing w:line="240" w:lineRule="auto"/>
        <w:textAlignment w:val="auto"/>
        <w:rPr>
          <w:sz w:val="20"/>
          <w:szCs w:val="20"/>
        </w:rPr>
      </w:pPr>
      <w:r w:rsidRPr="00A36A71">
        <w:rPr>
          <w:sz w:val="20"/>
          <w:szCs w:val="20"/>
        </w:rPr>
        <w:t>Uredba o metodologiji za oblikovanje najemnin v neprofitnih stanovanjih ter merilih in postopku za uveljavljanje subvencioniranih najemnin (Uradni list RS, št. </w:t>
      </w:r>
      <w:hyperlink r:id="rId14" w:tgtFrame="_blank" w:tooltip="Uredba o metodologiji za oblikovanje najemnin v neprofitnih stanovanjih ter merilih in postopku za uveljavljanje subvencioniranih najemnin" w:history="1">
        <w:r w:rsidRPr="00A36A71">
          <w:rPr>
            <w:sz w:val="20"/>
            <w:szCs w:val="20"/>
          </w:rPr>
          <w:t>131/03</w:t>
        </w:r>
      </w:hyperlink>
      <w:r w:rsidRPr="00A36A71">
        <w:rPr>
          <w:sz w:val="20"/>
          <w:szCs w:val="20"/>
        </w:rPr>
        <w:t>, </w:t>
      </w:r>
      <w:hyperlink r:id="rId15" w:tgtFrame="_blank" w:tooltip="Uredba o spremembi Uredbe o metodologiji za oblikovanje najemnin v neprofitnih stanovanjih ter merilih in postopku za uveljavljanje subvencioniranih najemnin" w:history="1">
        <w:r w:rsidRPr="00A36A71">
          <w:rPr>
            <w:sz w:val="20"/>
            <w:szCs w:val="20"/>
          </w:rPr>
          <w:t>142/04</w:t>
        </w:r>
      </w:hyperlink>
      <w:r w:rsidRPr="00A36A71">
        <w:rPr>
          <w:sz w:val="20"/>
          <w:szCs w:val="20"/>
        </w:rPr>
        <w:t>, </w:t>
      </w:r>
      <w:hyperlink r:id="rId16" w:tgtFrame="_blank" w:tooltip="Uredba o spremembah in dopolnitvah Uredbe o metodologiji za oblikovanje najemnin v neprofitnih stanovanjih ter merilih in postopku za uveljavljanje subvencioniranih najemnin" w:history="1">
        <w:r w:rsidRPr="00A36A71">
          <w:rPr>
            <w:sz w:val="20"/>
            <w:szCs w:val="20"/>
          </w:rPr>
          <w:t>99/08</w:t>
        </w:r>
      </w:hyperlink>
      <w:r w:rsidRPr="00A36A71">
        <w:rPr>
          <w:sz w:val="20"/>
          <w:szCs w:val="20"/>
        </w:rPr>
        <w:t>, </w:t>
      </w:r>
      <w:hyperlink r:id="rId17" w:tgtFrame="_blank" w:tooltip="Zakon o uveljavljanju pravic iz javnih sredstev" w:history="1">
        <w:r w:rsidRPr="00A36A71">
          <w:rPr>
            <w:sz w:val="20"/>
            <w:szCs w:val="20"/>
          </w:rPr>
          <w:t>62/10</w:t>
        </w:r>
      </w:hyperlink>
      <w:r w:rsidRPr="00A36A71">
        <w:rPr>
          <w:sz w:val="20"/>
          <w:szCs w:val="20"/>
        </w:rPr>
        <w:t> – ZUPJS, </w:t>
      </w:r>
      <w:hyperlink r:id="rId18" w:tgtFrame="_blank" w:tooltip="Uredba o spremembah in dopolnitvah Uredbe o metodologiji za oblikovanje najemnin v neprofitnih stanovanjih ter merilih in postopku za uveljavljanje subvencioniranih najemnin" w:history="1">
        <w:r w:rsidRPr="00A36A71">
          <w:rPr>
            <w:sz w:val="20"/>
            <w:szCs w:val="20"/>
          </w:rPr>
          <w:t>79/15</w:t>
        </w:r>
      </w:hyperlink>
      <w:r w:rsidRPr="00A36A71">
        <w:rPr>
          <w:sz w:val="20"/>
          <w:szCs w:val="20"/>
        </w:rPr>
        <w:t> in </w:t>
      </w:r>
      <w:hyperlink r:id="rId19" w:tgtFrame="_blank" w:tooltip="Uredba o spremembi Uredbe o metodologiji za oblikovanje najemnin v neprofitnih stanovanjih ter merilih in postopku za uveljavljanje subvencioniranih najemnin" w:history="1">
        <w:r w:rsidRPr="00A36A71">
          <w:rPr>
            <w:sz w:val="20"/>
            <w:szCs w:val="20"/>
          </w:rPr>
          <w:t>91/15</w:t>
        </w:r>
      </w:hyperlink>
      <w:r w:rsidRPr="00A36A71">
        <w:rPr>
          <w:sz w:val="20"/>
          <w:szCs w:val="20"/>
        </w:rPr>
        <w:t>).</w:t>
      </w:r>
    </w:p>
    <w:p w14:paraId="2C83581B" w14:textId="77777777" w:rsidR="00A36A71" w:rsidRPr="00A36A71" w:rsidRDefault="00A36A71" w:rsidP="00A36A71">
      <w:pPr>
        <w:pStyle w:val="len"/>
        <w:rPr>
          <w:sz w:val="20"/>
          <w:szCs w:val="20"/>
          <w:lang w:val="sl-SI"/>
        </w:rPr>
      </w:pPr>
      <w:r w:rsidRPr="00A36A71">
        <w:rPr>
          <w:sz w:val="20"/>
          <w:szCs w:val="20"/>
          <w:lang w:val="sl-SI"/>
        </w:rPr>
        <w:t>1</w:t>
      </w:r>
      <w:r w:rsidR="00336650">
        <w:rPr>
          <w:sz w:val="20"/>
          <w:szCs w:val="20"/>
          <w:lang w:val="sl-SI"/>
        </w:rPr>
        <w:t>9</w:t>
      </w:r>
      <w:r w:rsidRPr="00A36A71">
        <w:rPr>
          <w:sz w:val="20"/>
          <w:szCs w:val="20"/>
          <w:lang w:val="sl-SI"/>
        </w:rPr>
        <w:t>. člen</w:t>
      </w:r>
    </w:p>
    <w:p w14:paraId="45D7DA20" w14:textId="77777777" w:rsidR="00A36A71" w:rsidRPr="00A36A71" w:rsidRDefault="00A36A71" w:rsidP="00A36A71">
      <w:pPr>
        <w:pStyle w:val="Odstavek"/>
        <w:rPr>
          <w:sz w:val="20"/>
          <w:szCs w:val="20"/>
          <w:lang w:val="sl-SI"/>
        </w:rPr>
      </w:pPr>
      <w:r w:rsidRPr="00A36A71">
        <w:rPr>
          <w:sz w:val="20"/>
          <w:szCs w:val="20"/>
          <w:lang w:val="sl-SI"/>
        </w:rPr>
        <w:t>(1) Ta uredba začne veljati 15. dan po objavi v Uradnem listu RS.</w:t>
      </w:r>
    </w:p>
    <w:p w14:paraId="04D7E10F" w14:textId="77777777" w:rsidR="00A36A71" w:rsidRPr="00A36A71" w:rsidRDefault="00A36A71" w:rsidP="00A36A71">
      <w:pPr>
        <w:pStyle w:val="Odstavek"/>
        <w:rPr>
          <w:sz w:val="20"/>
          <w:szCs w:val="20"/>
          <w:lang w:val="sl-SI"/>
        </w:rPr>
      </w:pPr>
      <w:r w:rsidRPr="00A36A71">
        <w:rPr>
          <w:sz w:val="20"/>
          <w:szCs w:val="20"/>
          <w:lang w:val="sl-SI"/>
        </w:rPr>
        <w:t>(2) Ne glede na prejšnji odstavek se določbe o vplivu lokacije stanovanja začnejo uporabljati 1. novembra 2021.</w:t>
      </w:r>
    </w:p>
    <w:p w14:paraId="68E1B159" w14:textId="77777777" w:rsidR="00A36A71" w:rsidRPr="00673182" w:rsidRDefault="00A36A71" w:rsidP="00A36A71">
      <w:pPr>
        <w:pStyle w:val="Alineazaodstavkom"/>
        <w:tabs>
          <w:tab w:val="clear" w:pos="360"/>
        </w:tabs>
        <w:ind w:left="397" w:firstLine="0"/>
      </w:pPr>
    </w:p>
    <w:p w14:paraId="355D8650" w14:textId="77777777" w:rsidR="00CA56A4" w:rsidRDefault="00CA56A4" w:rsidP="00CA56A4">
      <w:pPr>
        <w:spacing w:after="120" w:line="240" w:lineRule="auto"/>
        <w:rPr>
          <w:rFonts w:cs="Arial"/>
          <w:b/>
          <w:szCs w:val="20"/>
        </w:rPr>
      </w:pPr>
    </w:p>
    <w:p w14:paraId="5FF682E0" w14:textId="77777777" w:rsidR="000F302E" w:rsidRPr="0044361D" w:rsidRDefault="000F302E" w:rsidP="00CA56A4">
      <w:pPr>
        <w:spacing w:after="120" w:line="240" w:lineRule="auto"/>
        <w:rPr>
          <w:rFonts w:cs="Arial"/>
          <w:szCs w:val="20"/>
        </w:rPr>
      </w:pPr>
    </w:p>
    <w:p w14:paraId="0F07C716" w14:textId="77777777" w:rsidR="00CA56A4" w:rsidRPr="0044361D" w:rsidRDefault="00F1194A" w:rsidP="00CA56A4">
      <w:pPr>
        <w:spacing w:after="120" w:line="240" w:lineRule="auto"/>
        <w:rPr>
          <w:rFonts w:cs="Arial"/>
          <w:szCs w:val="20"/>
        </w:rPr>
      </w:pPr>
      <w:r>
        <w:rPr>
          <w:rFonts w:cs="Arial"/>
          <w:szCs w:val="20"/>
        </w:rPr>
        <w:t xml:space="preserve">Št. </w:t>
      </w:r>
      <w:r w:rsidR="004A6D8C" w:rsidRPr="004A6D8C">
        <w:rPr>
          <w:rFonts w:cs="Arial"/>
          <w:szCs w:val="20"/>
        </w:rPr>
        <w:t>007-268/2021</w:t>
      </w:r>
    </w:p>
    <w:p w14:paraId="386D4633" w14:textId="77777777" w:rsidR="00CA56A4" w:rsidRPr="0044361D" w:rsidRDefault="00F1194A" w:rsidP="00CA56A4">
      <w:pPr>
        <w:spacing w:after="120" w:line="240" w:lineRule="auto"/>
        <w:rPr>
          <w:rFonts w:cs="Arial"/>
          <w:szCs w:val="20"/>
        </w:rPr>
      </w:pPr>
      <w:r w:rsidRPr="00A36A71">
        <w:rPr>
          <w:rFonts w:cs="Arial"/>
          <w:szCs w:val="20"/>
        </w:rPr>
        <w:t xml:space="preserve">Ljubljana, dne </w:t>
      </w:r>
      <w:r w:rsidR="00A36A71" w:rsidRPr="00A36A71">
        <w:rPr>
          <w:rFonts w:cs="Arial"/>
          <w:szCs w:val="20"/>
          <w:highlight w:val="yellow"/>
        </w:rPr>
        <w:t>XX</w:t>
      </w:r>
      <w:r w:rsidRPr="00A36A71">
        <w:rPr>
          <w:rFonts w:cs="Arial"/>
          <w:szCs w:val="20"/>
          <w:highlight w:val="yellow"/>
        </w:rPr>
        <w:t xml:space="preserve">. </w:t>
      </w:r>
      <w:r w:rsidR="00A36A71" w:rsidRPr="00A36A71">
        <w:rPr>
          <w:rFonts w:cs="Arial"/>
          <w:szCs w:val="20"/>
          <w:highlight w:val="yellow"/>
        </w:rPr>
        <w:t>XX</w:t>
      </w:r>
      <w:r w:rsidRPr="00A36A71">
        <w:rPr>
          <w:rFonts w:cs="Arial"/>
          <w:szCs w:val="20"/>
          <w:highlight w:val="yellow"/>
        </w:rPr>
        <w:t xml:space="preserve"> 2021</w:t>
      </w:r>
    </w:p>
    <w:p w14:paraId="532AD6A3" w14:textId="77777777" w:rsidR="00CA56A4" w:rsidRPr="0044361D" w:rsidRDefault="00CA56A4" w:rsidP="00CA56A4">
      <w:pPr>
        <w:spacing w:after="120" w:line="240" w:lineRule="auto"/>
        <w:rPr>
          <w:rFonts w:cs="Arial"/>
          <w:szCs w:val="20"/>
        </w:rPr>
      </w:pPr>
      <w:r w:rsidRPr="0044361D">
        <w:rPr>
          <w:rFonts w:cs="Arial"/>
          <w:szCs w:val="20"/>
        </w:rPr>
        <w:t xml:space="preserve">EVA </w:t>
      </w:r>
      <w:r w:rsidR="004A6D8C" w:rsidRPr="004A6D8C">
        <w:rPr>
          <w:rFonts w:cs="Arial"/>
          <w:szCs w:val="20"/>
        </w:rPr>
        <w:t>2021-2550-0023</w:t>
      </w:r>
    </w:p>
    <w:p w14:paraId="2D790954" w14:textId="77777777" w:rsidR="00CA56A4" w:rsidRPr="0044361D" w:rsidRDefault="00A53FDC" w:rsidP="0044361D">
      <w:pPr>
        <w:spacing w:after="120" w:line="240" w:lineRule="auto"/>
        <w:ind w:left="4536"/>
        <w:jc w:val="center"/>
        <w:rPr>
          <w:rFonts w:cs="Arial"/>
          <w:b/>
          <w:szCs w:val="20"/>
        </w:rPr>
      </w:pPr>
      <w:r w:rsidRPr="0044361D">
        <w:rPr>
          <w:rFonts w:cs="Arial"/>
          <w:b/>
          <w:szCs w:val="20"/>
        </w:rPr>
        <w:lastRenderedPageBreak/>
        <w:t>predsednik</w:t>
      </w:r>
    </w:p>
    <w:p w14:paraId="17679464" w14:textId="77777777" w:rsidR="00CA56A4" w:rsidRPr="0044361D" w:rsidRDefault="00CA56A4" w:rsidP="00CA56A4">
      <w:pPr>
        <w:spacing w:after="120" w:line="240" w:lineRule="auto"/>
        <w:ind w:left="4536"/>
        <w:jc w:val="center"/>
        <w:rPr>
          <w:rFonts w:cs="Arial"/>
          <w:szCs w:val="20"/>
        </w:rPr>
      </w:pPr>
      <w:r w:rsidRPr="0044361D">
        <w:rPr>
          <w:rFonts w:cs="Arial"/>
          <w:szCs w:val="20"/>
        </w:rPr>
        <w:t>Vlada Republike Slovenije</w:t>
      </w:r>
    </w:p>
    <w:p w14:paraId="7BB46EA1" w14:textId="77777777" w:rsidR="00CA56A4" w:rsidRPr="0044361D" w:rsidRDefault="0095327E" w:rsidP="00CA56A4">
      <w:pPr>
        <w:spacing w:after="120" w:line="240" w:lineRule="auto"/>
        <w:ind w:left="4536"/>
        <w:jc w:val="center"/>
        <w:rPr>
          <w:rFonts w:cs="Arial"/>
          <w:szCs w:val="20"/>
        </w:rPr>
      </w:pPr>
      <w:r>
        <w:rPr>
          <w:rFonts w:cs="Arial"/>
          <w:szCs w:val="20"/>
        </w:rPr>
        <w:t>Janez Janša</w:t>
      </w:r>
    </w:p>
    <w:p w14:paraId="5405206E" w14:textId="77777777" w:rsidR="00F063BE" w:rsidRDefault="00F063BE" w:rsidP="00A2661B">
      <w:pPr>
        <w:tabs>
          <w:tab w:val="left" w:pos="708"/>
        </w:tabs>
        <w:spacing w:line="276" w:lineRule="auto"/>
        <w:rPr>
          <w:rFonts w:cs="Arial"/>
          <w:b/>
          <w:szCs w:val="20"/>
        </w:rPr>
      </w:pPr>
    </w:p>
    <w:p w14:paraId="63BA053C" w14:textId="77777777" w:rsidR="00F063BE" w:rsidRDefault="00F063BE" w:rsidP="00A2661B">
      <w:pPr>
        <w:tabs>
          <w:tab w:val="left" w:pos="708"/>
        </w:tabs>
        <w:spacing w:line="276" w:lineRule="auto"/>
        <w:rPr>
          <w:rFonts w:cs="Arial"/>
          <w:b/>
          <w:szCs w:val="20"/>
        </w:rPr>
      </w:pPr>
    </w:p>
    <w:p w14:paraId="7267B080" w14:textId="77777777" w:rsidR="00EC7AF1" w:rsidRDefault="00EC7AF1">
      <w:pPr>
        <w:spacing w:line="240" w:lineRule="auto"/>
        <w:rPr>
          <w:rFonts w:cs="Arial"/>
          <w:b/>
          <w:szCs w:val="20"/>
        </w:rPr>
      </w:pPr>
      <w:r>
        <w:rPr>
          <w:rFonts w:cs="Arial"/>
          <w:b/>
          <w:szCs w:val="20"/>
        </w:rPr>
        <w:br w:type="page"/>
      </w:r>
    </w:p>
    <w:p w14:paraId="0EEB1950" w14:textId="77777777" w:rsidR="00CA678E" w:rsidRPr="002D49BD" w:rsidRDefault="00CA678E" w:rsidP="00A2661B">
      <w:pPr>
        <w:tabs>
          <w:tab w:val="left" w:pos="708"/>
        </w:tabs>
        <w:spacing w:line="276" w:lineRule="auto"/>
        <w:rPr>
          <w:rFonts w:cs="Arial"/>
          <w:b/>
          <w:szCs w:val="20"/>
        </w:rPr>
      </w:pPr>
      <w:r w:rsidRPr="002D49BD">
        <w:rPr>
          <w:rFonts w:cs="Arial"/>
          <w:b/>
          <w:szCs w:val="20"/>
        </w:rPr>
        <w:lastRenderedPageBreak/>
        <w:t>OBRAZLOŽITEV</w:t>
      </w:r>
    </w:p>
    <w:p w14:paraId="6C36BA72" w14:textId="77777777" w:rsidR="00CA678E" w:rsidRPr="002D49BD" w:rsidRDefault="00CA678E" w:rsidP="00A2661B">
      <w:pPr>
        <w:tabs>
          <w:tab w:val="left" w:pos="708"/>
        </w:tabs>
        <w:spacing w:line="276" w:lineRule="auto"/>
        <w:rPr>
          <w:rFonts w:cs="Arial"/>
          <w:b/>
          <w:szCs w:val="20"/>
        </w:rPr>
      </w:pPr>
    </w:p>
    <w:p w14:paraId="0A9BA3F3" w14:textId="77777777" w:rsidR="00CA678E" w:rsidRPr="002D49BD" w:rsidRDefault="00CA678E" w:rsidP="00A2661B">
      <w:pPr>
        <w:tabs>
          <w:tab w:val="left" w:pos="708"/>
        </w:tabs>
        <w:spacing w:line="276" w:lineRule="auto"/>
        <w:jc w:val="both"/>
        <w:rPr>
          <w:rFonts w:cs="Arial"/>
          <w:b/>
          <w:szCs w:val="20"/>
        </w:rPr>
      </w:pPr>
      <w:r w:rsidRPr="002D49BD">
        <w:rPr>
          <w:rFonts w:cs="Arial"/>
          <w:b/>
          <w:szCs w:val="20"/>
        </w:rPr>
        <w:t>I. UVOD</w:t>
      </w:r>
    </w:p>
    <w:p w14:paraId="0FED508F" w14:textId="77777777" w:rsidR="00CA678E" w:rsidRPr="002D49BD" w:rsidRDefault="00CA678E" w:rsidP="00A2661B">
      <w:pPr>
        <w:tabs>
          <w:tab w:val="left" w:pos="708"/>
        </w:tabs>
        <w:spacing w:line="276" w:lineRule="auto"/>
        <w:ind w:left="720"/>
        <w:jc w:val="both"/>
        <w:rPr>
          <w:rFonts w:cs="Arial"/>
          <w:b/>
          <w:szCs w:val="20"/>
        </w:rPr>
      </w:pPr>
    </w:p>
    <w:p w14:paraId="1E384908" w14:textId="77777777" w:rsidR="00CA678E" w:rsidRPr="002D49BD" w:rsidRDefault="00CA678E" w:rsidP="00A2661B">
      <w:pPr>
        <w:numPr>
          <w:ilvl w:val="0"/>
          <w:numId w:val="22"/>
        </w:numPr>
        <w:tabs>
          <w:tab w:val="num" w:pos="-360"/>
        </w:tabs>
        <w:spacing w:line="276" w:lineRule="auto"/>
        <w:ind w:left="360"/>
        <w:jc w:val="both"/>
        <w:rPr>
          <w:rFonts w:cs="Arial"/>
          <w:b/>
          <w:szCs w:val="20"/>
        </w:rPr>
      </w:pPr>
      <w:r w:rsidRPr="002D49BD">
        <w:rPr>
          <w:rFonts w:cs="Arial"/>
          <w:b/>
          <w:szCs w:val="20"/>
        </w:rPr>
        <w:t>Pravna podlaga (besedilo, vsebina zakonske določbe, ki je podlaga za izdajo uredbe)</w:t>
      </w:r>
    </w:p>
    <w:p w14:paraId="70566B87" w14:textId="77777777" w:rsidR="00CA678E" w:rsidRPr="002D49BD" w:rsidRDefault="00CA678E" w:rsidP="00A2661B">
      <w:pPr>
        <w:tabs>
          <w:tab w:val="left" w:pos="708"/>
        </w:tabs>
        <w:spacing w:line="276" w:lineRule="auto"/>
        <w:ind w:left="360"/>
        <w:jc w:val="both"/>
        <w:rPr>
          <w:rFonts w:cs="Arial"/>
          <w:szCs w:val="20"/>
        </w:rPr>
      </w:pPr>
    </w:p>
    <w:p w14:paraId="3E682004" w14:textId="77777777" w:rsidR="00BA28C8" w:rsidRDefault="00BA28C8" w:rsidP="00A2661B">
      <w:pPr>
        <w:tabs>
          <w:tab w:val="left" w:pos="708"/>
        </w:tabs>
        <w:spacing w:line="276" w:lineRule="auto"/>
        <w:ind w:left="360"/>
        <w:jc w:val="both"/>
        <w:rPr>
          <w:rFonts w:cs="Arial"/>
          <w:szCs w:val="20"/>
        </w:rPr>
      </w:pPr>
      <w:r w:rsidRPr="00BA28C8">
        <w:rPr>
          <w:rFonts w:cs="Arial"/>
          <w:szCs w:val="20"/>
        </w:rPr>
        <w:t xml:space="preserve">Pravna </w:t>
      </w:r>
      <w:r>
        <w:rPr>
          <w:rFonts w:cs="Arial"/>
          <w:szCs w:val="20"/>
        </w:rPr>
        <w:t xml:space="preserve">podlaga za sprejem </w:t>
      </w:r>
      <w:r w:rsidRPr="00BA28C8">
        <w:rPr>
          <w:rFonts w:cs="Arial"/>
          <w:szCs w:val="20"/>
        </w:rPr>
        <w:t>Uredb</w:t>
      </w:r>
      <w:r>
        <w:rPr>
          <w:rFonts w:cs="Arial"/>
          <w:szCs w:val="20"/>
        </w:rPr>
        <w:t>e</w:t>
      </w:r>
      <w:r w:rsidRPr="00BA28C8">
        <w:rPr>
          <w:rFonts w:cs="Arial"/>
          <w:szCs w:val="20"/>
        </w:rPr>
        <w:t xml:space="preserve"> o metodologiji za oblikovanje neprofitne najemnine in določitvi višine subvencij najemnin</w:t>
      </w:r>
      <w:r>
        <w:rPr>
          <w:rFonts w:cs="Arial"/>
          <w:szCs w:val="20"/>
        </w:rPr>
        <w:t xml:space="preserve"> sta </w:t>
      </w:r>
      <w:r w:rsidR="00167239">
        <w:rPr>
          <w:rFonts w:cs="Arial"/>
          <w:szCs w:val="20"/>
        </w:rPr>
        <w:t>117. in 118.. člen</w:t>
      </w:r>
      <w:r w:rsidR="00167239" w:rsidRPr="00167239">
        <w:rPr>
          <w:rFonts w:cs="Arial"/>
          <w:szCs w:val="20"/>
        </w:rPr>
        <w:t xml:space="preserve"> Stanovanjskega zakona (Uradni list RS, št. 69/03, 18/04 – ZVKSES, 47/06 – ZEN, 45/08 – </w:t>
      </w:r>
      <w:proofErr w:type="spellStart"/>
      <w:r w:rsidR="00167239" w:rsidRPr="00167239">
        <w:rPr>
          <w:rFonts w:cs="Arial"/>
          <w:szCs w:val="20"/>
        </w:rPr>
        <w:t>ZVEtL</w:t>
      </w:r>
      <w:proofErr w:type="spellEnd"/>
      <w:r w:rsidR="00167239" w:rsidRPr="00167239">
        <w:rPr>
          <w:rFonts w:cs="Arial"/>
          <w:szCs w:val="20"/>
        </w:rPr>
        <w:t xml:space="preserve">, 57/08, 62/10 – </w:t>
      </w:r>
      <w:proofErr w:type="spellStart"/>
      <w:r w:rsidR="00167239" w:rsidRPr="00167239">
        <w:rPr>
          <w:rFonts w:cs="Arial"/>
          <w:szCs w:val="20"/>
        </w:rPr>
        <w:t>ZUPJS</w:t>
      </w:r>
      <w:proofErr w:type="spellEnd"/>
      <w:r w:rsidR="00167239" w:rsidRPr="00167239">
        <w:rPr>
          <w:rFonts w:cs="Arial"/>
          <w:szCs w:val="20"/>
        </w:rPr>
        <w:t xml:space="preserve">, 56/11 – </w:t>
      </w:r>
      <w:proofErr w:type="spellStart"/>
      <w:r w:rsidR="00167239" w:rsidRPr="00167239">
        <w:rPr>
          <w:rFonts w:cs="Arial"/>
          <w:szCs w:val="20"/>
        </w:rPr>
        <w:t>odl</w:t>
      </w:r>
      <w:proofErr w:type="spellEnd"/>
      <w:r w:rsidR="00167239" w:rsidRPr="00167239">
        <w:rPr>
          <w:rFonts w:cs="Arial"/>
          <w:szCs w:val="20"/>
        </w:rPr>
        <w:t xml:space="preserve">. US, 87/11, 40/12 – </w:t>
      </w:r>
      <w:proofErr w:type="spellStart"/>
      <w:r w:rsidR="00167239" w:rsidRPr="00167239">
        <w:rPr>
          <w:rFonts w:cs="Arial"/>
          <w:szCs w:val="20"/>
        </w:rPr>
        <w:t>ZUJF</w:t>
      </w:r>
      <w:proofErr w:type="spellEnd"/>
      <w:r w:rsidR="00167239" w:rsidRPr="00167239">
        <w:rPr>
          <w:rFonts w:cs="Arial"/>
          <w:szCs w:val="20"/>
        </w:rPr>
        <w:t xml:space="preserve">, 14/17 – </w:t>
      </w:r>
      <w:proofErr w:type="spellStart"/>
      <w:r w:rsidR="00167239" w:rsidRPr="00167239">
        <w:rPr>
          <w:rFonts w:cs="Arial"/>
          <w:szCs w:val="20"/>
        </w:rPr>
        <w:t>odl</w:t>
      </w:r>
      <w:proofErr w:type="spellEnd"/>
      <w:r w:rsidR="00167239" w:rsidRPr="00167239">
        <w:rPr>
          <w:rFonts w:cs="Arial"/>
          <w:szCs w:val="20"/>
        </w:rPr>
        <w:t xml:space="preserve">. US, 27/17, 59/19, 189/20 – ZFRO in </w:t>
      </w:r>
      <w:r w:rsidR="00354D58">
        <w:rPr>
          <w:rFonts w:cs="Arial"/>
          <w:szCs w:val="20"/>
        </w:rPr>
        <w:t>90/21</w:t>
      </w:r>
      <w:r w:rsidR="00167239" w:rsidRPr="00167239">
        <w:rPr>
          <w:rFonts w:cs="Arial"/>
          <w:szCs w:val="20"/>
        </w:rPr>
        <w:t>)</w:t>
      </w:r>
      <w:r w:rsidR="00167239">
        <w:rPr>
          <w:rFonts w:cs="Arial"/>
          <w:szCs w:val="20"/>
        </w:rPr>
        <w:t>. V 117. členu je dana pravna podlaga za določitev podrobnejšega</w:t>
      </w:r>
      <w:r w:rsidR="00167239" w:rsidRPr="00167239">
        <w:rPr>
          <w:rFonts w:cs="Arial"/>
          <w:szCs w:val="20"/>
        </w:rPr>
        <w:t xml:space="preserve"> način</w:t>
      </w:r>
      <w:r w:rsidR="00167239">
        <w:rPr>
          <w:rFonts w:cs="Arial"/>
          <w:szCs w:val="20"/>
        </w:rPr>
        <w:t>a in postop</w:t>
      </w:r>
      <w:r w:rsidR="00167239" w:rsidRPr="00167239">
        <w:rPr>
          <w:rFonts w:cs="Arial"/>
          <w:szCs w:val="20"/>
        </w:rPr>
        <w:t>k</w:t>
      </w:r>
      <w:r w:rsidR="00167239">
        <w:rPr>
          <w:rFonts w:cs="Arial"/>
          <w:szCs w:val="20"/>
        </w:rPr>
        <w:t>a</w:t>
      </w:r>
      <w:r w:rsidR="00167239" w:rsidRPr="00167239">
        <w:rPr>
          <w:rFonts w:cs="Arial"/>
          <w:szCs w:val="20"/>
        </w:rPr>
        <w:t xml:space="preserve"> z</w:t>
      </w:r>
      <w:r w:rsidR="00167239">
        <w:rPr>
          <w:rFonts w:cs="Arial"/>
          <w:szCs w:val="20"/>
        </w:rPr>
        <w:t xml:space="preserve">a izračun neprofitnih najemnin ter </w:t>
      </w:r>
      <w:r w:rsidR="00167239" w:rsidRPr="00167239">
        <w:rPr>
          <w:rFonts w:cs="Arial"/>
          <w:szCs w:val="20"/>
        </w:rPr>
        <w:t>postopek za uveljavl</w:t>
      </w:r>
      <w:r w:rsidR="00167239">
        <w:rPr>
          <w:rFonts w:cs="Arial"/>
          <w:szCs w:val="20"/>
        </w:rPr>
        <w:t>janje subvencionirane najemnine, pri čemer je določeno, da m</w:t>
      </w:r>
      <w:r w:rsidR="00167239" w:rsidRPr="00167239">
        <w:rPr>
          <w:rFonts w:cs="Arial"/>
          <w:szCs w:val="20"/>
        </w:rPr>
        <w:t xml:space="preserve">etodologija pri določitvi neprofitne najemnine </w:t>
      </w:r>
      <w:r w:rsidR="00167239">
        <w:rPr>
          <w:rFonts w:cs="Arial"/>
          <w:szCs w:val="20"/>
        </w:rPr>
        <w:t xml:space="preserve">upošteva </w:t>
      </w:r>
      <w:r w:rsidR="00167239" w:rsidRPr="00167239">
        <w:rPr>
          <w:rFonts w:cs="Arial"/>
          <w:szCs w:val="20"/>
        </w:rPr>
        <w:t xml:space="preserve">elemente iz prvega odstavka 118. </w:t>
      </w:r>
      <w:r w:rsidR="00167239">
        <w:rPr>
          <w:rFonts w:cs="Arial"/>
          <w:szCs w:val="20"/>
        </w:rPr>
        <w:t>člena. Iz 118. člena izhaja tudi podlaga za določitev vpliva lokacije stanovanja na višino neprofitne najemnine.</w:t>
      </w:r>
    </w:p>
    <w:p w14:paraId="3BA10A9A" w14:textId="77777777" w:rsidR="00167239" w:rsidRDefault="00167239" w:rsidP="00A2661B">
      <w:pPr>
        <w:tabs>
          <w:tab w:val="left" w:pos="708"/>
        </w:tabs>
        <w:spacing w:line="276" w:lineRule="auto"/>
        <w:ind w:left="360"/>
        <w:jc w:val="both"/>
        <w:rPr>
          <w:rFonts w:cs="Arial"/>
          <w:szCs w:val="20"/>
        </w:rPr>
      </w:pPr>
    </w:p>
    <w:p w14:paraId="2C2084EC" w14:textId="77777777" w:rsidR="00167239" w:rsidRPr="00BA28C8" w:rsidRDefault="00167239" w:rsidP="00A2661B">
      <w:pPr>
        <w:tabs>
          <w:tab w:val="left" w:pos="708"/>
        </w:tabs>
        <w:spacing w:line="276" w:lineRule="auto"/>
        <w:ind w:left="360"/>
        <w:jc w:val="both"/>
        <w:rPr>
          <w:rFonts w:cs="Arial"/>
          <w:szCs w:val="20"/>
        </w:rPr>
      </w:pPr>
      <w:r>
        <w:rPr>
          <w:rFonts w:cs="Arial"/>
          <w:szCs w:val="20"/>
        </w:rPr>
        <w:t xml:space="preserve">Z uveljavitvijo te uredbe hkrati prenehata veljati </w:t>
      </w:r>
      <w:r w:rsidRPr="00167239">
        <w:rPr>
          <w:rFonts w:cs="Arial"/>
          <w:szCs w:val="20"/>
        </w:rPr>
        <w:t xml:space="preserve">Pravilnik o podrobnejših pogojih, merilih in postopku za dodelitev subvencij mladim družinam za najem tržnih stanovanj (Uradni list RS, št. 66/07 in 40/12 – ZUJF) </w:t>
      </w:r>
      <w:r>
        <w:rPr>
          <w:rFonts w:cs="Arial"/>
          <w:szCs w:val="20"/>
        </w:rPr>
        <w:t xml:space="preserve">ter </w:t>
      </w:r>
      <w:r w:rsidRPr="00167239">
        <w:rPr>
          <w:rFonts w:cs="Arial"/>
          <w:szCs w:val="20"/>
        </w:rPr>
        <w:t>Uredba o metodologiji za oblikovanje najemnin v neprofitnih stanovanjih ter merilih in postopku za uveljavljanje subvencioniranih najemnin (Uradni list RS, št. 131/03, 142/04, 99/08, 62/10 – ZUPJS, 79/15 in 91/15).</w:t>
      </w:r>
    </w:p>
    <w:p w14:paraId="76981671" w14:textId="77777777" w:rsidR="00007DF3" w:rsidRPr="002D49BD" w:rsidRDefault="00007DF3" w:rsidP="00A2661B">
      <w:pPr>
        <w:tabs>
          <w:tab w:val="left" w:pos="708"/>
        </w:tabs>
        <w:spacing w:line="276" w:lineRule="auto"/>
        <w:jc w:val="both"/>
        <w:rPr>
          <w:rFonts w:cs="Arial"/>
          <w:szCs w:val="20"/>
        </w:rPr>
      </w:pPr>
    </w:p>
    <w:p w14:paraId="43A1DC8B" w14:textId="77777777" w:rsidR="00CA678E" w:rsidRPr="002D49BD" w:rsidRDefault="00CA678E" w:rsidP="00A2661B">
      <w:pPr>
        <w:numPr>
          <w:ilvl w:val="0"/>
          <w:numId w:val="22"/>
        </w:numPr>
        <w:tabs>
          <w:tab w:val="num" w:pos="-360"/>
        </w:tabs>
        <w:spacing w:line="276" w:lineRule="auto"/>
        <w:ind w:left="360"/>
        <w:jc w:val="both"/>
        <w:rPr>
          <w:rFonts w:cs="Arial"/>
          <w:b/>
          <w:szCs w:val="20"/>
        </w:rPr>
      </w:pPr>
      <w:r w:rsidRPr="002D49BD">
        <w:rPr>
          <w:rFonts w:cs="Arial"/>
          <w:b/>
          <w:szCs w:val="20"/>
        </w:rPr>
        <w:t>Rok za izdajo uredbe, določen z zakonom</w:t>
      </w:r>
    </w:p>
    <w:p w14:paraId="3396A520" w14:textId="77777777" w:rsidR="00CA678E" w:rsidRPr="002D49BD" w:rsidRDefault="00CA678E" w:rsidP="00A2661B">
      <w:pPr>
        <w:tabs>
          <w:tab w:val="left" w:pos="708"/>
        </w:tabs>
        <w:spacing w:line="276" w:lineRule="auto"/>
        <w:jc w:val="both"/>
        <w:rPr>
          <w:rFonts w:cs="Arial"/>
          <w:szCs w:val="20"/>
        </w:rPr>
      </w:pPr>
    </w:p>
    <w:p w14:paraId="3549944B" w14:textId="77777777" w:rsidR="0025301D" w:rsidRPr="006F7BD0" w:rsidRDefault="006F7BD0" w:rsidP="00A2661B">
      <w:pPr>
        <w:tabs>
          <w:tab w:val="left" w:pos="708"/>
        </w:tabs>
        <w:spacing w:line="276" w:lineRule="auto"/>
        <w:ind w:left="360"/>
        <w:jc w:val="both"/>
        <w:rPr>
          <w:rFonts w:cs="Arial"/>
          <w:szCs w:val="20"/>
          <w:highlight w:val="yellow"/>
        </w:rPr>
      </w:pPr>
      <w:r w:rsidRPr="006F7BD0">
        <w:rPr>
          <w:rFonts w:cs="Arial"/>
          <w:szCs w:val="20"/>
        </w:rPr>
        <w:t xml:space="preserve">Zakon o spremembah in dopolnitvah Stanovanjskega zakona (Uradni list RS, št. </w:t>
      </w:r>
      <w:r w:rsidR="00354D58">
        <w:rPr>
          <w:rFonts w:cs="Arial"/>
          <w:szCs w:val="20"/>
        </w:rPr>
        <w:t>90/21)</w:t>
      </w:r>
      <w:r w:rsidR="00187871" w:rsidRPr="006F7BD0">
        <w:rPr>
          <w:rFonts w:cs="Arial"/>
          <w:szCs w:val="20"/>
        </w:rPr>
        <w:t xml:space="preserve">, ki je podlaga za sprejem Uredbe, </w:t>
      </w:r>
      <w:r>
        <w:rPr>
          <w:rFonts w:cs="Arial"/>
          <w:szCs w:val="20"/>
        </w:rPr>
        <w:t>v prehodnih določbah določa, da se v</w:t>
      </w:r>
      <w:r w:rsidRPr="006F7BD0">
        <w:rPr>
          <w:rFonts w:cs="Arial"/>
          <w:szCs w:val="20"/>
        </w:rPr>
        <w:t xml:space="preserve">pliv lokacije iz spremenjenega </w:t>
      </w:r>
      <w:r w:rsidRPr="00A72C1E">
        <w:rPr>
          <w:rFonts w:cs="Arial"/>
          <w:szCs w:val="20"/>
        </w:rPr>
        <w:t>devetega odstavka 118. člena zakona za izračun neprofitne najemnine začne uporabljati 1. novembra 2021. S</w:t>
      </w:r>
      <w:r w:rsidR="0025301D" w:rsidRPr="00A72C1E">
        <w:rPr>
          <w:rFonts w:cs="Arial"/>
          <w:szCs w:val="20"/>
        </w:rPr>
        <w:t xml:space="preserve">prejem uredbe je v operativnem smislu </w:t>
      </w:r>
      <w:r w:rsidRPr="00A72C1E">
        <w:rPr>
          <w:rFonts w:cs="Arial"/>
          <w:szCs w:val="20"/>
        </w:rPr>
        <w:t xml:space="preserve">zato </w:t>
      </w:r>
      <w:r w:rsidR="0025301D" w:rsidRPr="00A72C1E">
        <w:rPr>
          <w:rFonts w:cs="Arial"/>
          <w:szCs w:val="20"/>
        </w:rPr>
        <w:t>potreben najkasneje do 1.</w:t>
      </w:r>
      <w:r w:rsidR="00F86730" w:rsidRPr="00A72C1E">
        <w:rPr>
          <w:rFonts w:cs="Arial"/>
          <w:szCs w:val="20"/>
        </w:rPr>
        <w:t xml:space="preserve"> </w:t>
      </w:r>
      <w:r w:rsidR="00A72C1E" w:rsidRPr="00A72C1E">
        <w:rPr>
          <w:rFonts w:cs="Arial"/>
          <w:szCs w:val="20"/>
        </w:rPr>
        <w:t>novembra 2021.</w:t>
      </w:r>
    </w:p>
    <w:p w14:paraId="62CAC8A7" w14:textId="77777777" w:rsidR="000B5310" w:rsidRPr="002D49BD" w:rsidRDefault="000B5310" w:rsidP="00A2661B">
      <w:pPr>
        <w:tabs>
          <w:tab w:val="left" w:pos="708"/>
        </w:tabs>
        <w:spacing w:line="276" w:lineRule="auto"/>
        <w:jc w:val="both"/>
        <w:rPr>
          <w:rFonts w:cs="Arial"/>
          <w:szCs w:val="20"/>
        </w:rPr>
      </w:pPr>
    </w:p>
    <w:p w14:paraId="18808C7B" w14:textId="77777777" w:rsidR="00CA678E" w:rsidRPr="002D49BD" w:rsidRDefault="00CA678E" w:rsidP="00A2661B">
      <w:pPr>
        <w:numPr>
          <w:ilvl w:val="0"/>
          <w:numId w:val="22"/>
        </w:numPr>
        <w:tabs>
          <w:tab w:val="num" w:pos="0"/>
        </w:tabs>
        <w:spacing w:line="276" w:lineRule="auto"/>
        <w:ind w:left="360"/>
        <w:jc w:val="both"/>
        <w:rPr>
          <w:rFonts w:cs="Arial"/>
          <w:b/>
          <w:szCs w:val="20"/>
        </w:rPr>
      </w:pPr>
      <w:r w:rsidRPr="002D49BD">
        <w:rPr>
          <w:rFonts w:cs="Arial"/>
          <w:b/>
          <w:szCs w:val="20"/>
        </w:rPr>
        <w:t>Splošna obrazložitev predloga uredbe, če je potrebna</w:t>
      </w:r>
    </w:p>
    <w:p w14:paraId="169A0E0C" w14:textId="77777777" w:rsidR="000B5310" w:rsidRPr="002D49BD" w:rsidRDefault="000B5310" w:rsidP="00A2661B">
      <w:pPr>
        <w:spacing w:line="276" w:lineRule="auto"/>
        <w:ind w:left="360"/>
        <w:jc w:val="both"/>
        <w:rPr>
          <w:rFonts w:cs="Arial"/>
          <w:b/>
          <w:szCs w:val="20"/>
        </w:rPr>
      </w:pPr>
    </w:p>
    <w:p w14:paraId="2F19A127" w14:textId="77777777" w:rsidR="008A6ACE" w:rsidRDefault="008A6ACE" w:rsidP="00A2661B">
      <w:pPr>
        <w:spacing w:line="276" w:lineRule="auto"/>
        <w:ind w:left="360"/>
        <w:jc w:val="both"/>
        <w:rPr>
          <w:rFonts w:cs="Arial"/>
          <w:szCs w:val="20"/>
        </w:rPr>
      </w:pPr>
      <w:r w:rsidRPr="008A6ACE">
        <w:rPr>
          <w:rFonts w:cs="Arial"/>
          <w:szCs w:val="20"/>
        </w:rPr>
        <w:t xml:space="preserve">Uredba na področju oblikovanja neprofitne najemnine določa metodologijo za oblikovanje neprofitne najemnine in način izračuna najvišje neprofitne najemnine. </w:t>
      </w:r>
      <w:r>
        <w:rPr>
          <w:rFonts w:cs="Arial"/>
          <w:szCs w:val="20"/>
        </w:rPr>
        <w:t xml:space="preserve">Natančno je opredeljen način izračuna vrednosti stanovanja ter letne stopnje najemnine, </w:t>
      </w:r>
      <w:r w:rsidR="00FB367C">
        <w:rPr>
          <w:rFonts w:cs="Arial"/>
          <w:szCs w:val="20"/>
        </w:rPr>
        <w:t>ki predstavljata osnovni komponenti v formuli izračuna neprofitne najemnine.</w:t>
      </w:r>
    </w:p>
    <w:p w14:paraId="054810E4" w14:textId="77777777" w:rsidR="008A6ACE" w:rsidRDefault="008A6ACE" w:rsidP="00A2661B">
      <w:pPr>
        <w:spacing w:line="276" w:lineRule="auto"/>
        <w:ind w:left="360"/>
        <w:jc w:val="both"/>
        <w:rPr>
          <w:rFonts w:cs="Arial"/>
          <w:szCs w:val="20"/>
        </w:rPr>
      </w:pPr>
    </w:p>
    <w:p w14:paraId="38BCA563" w14:textId="77777777" w:rsidR="008A6ACE" w:rsidRDefault="00FB367C" w:rsidP="00A2661B">
      <w:pPr>
        <w:spacing w:line="276" w:lineRule="auto"/>
        <w:ind w:left="360"/>
        <w:jc w:val="both"/>
        <w:rPr>
          <w:rFonts w:cs="Arial"/>
          <w:szCs w:val="20"/>
        </w:rPr>
      </w:pPr>
      <w:r>
        <w:rPr>
          <w:rFonts w:cs="Arial"/>
          <w:szCs w:val="20"/>
        </w:rPr>
        <w:t>Podrobneje je določen</w:t>
      </w:r>
      <w:r w:rsidR="008A6ACE" w:rsidRPr="008A6ACE">
        <w:rPr>
          <w:rFonts w:cs="Arial"/>
          <w:szCs w:val="20"/>
        </w:rPr>
        <w:t xml:space="preserve"> tudi vpliv lokacije stanovanja na višino neprofitne najemnine s pripadajočim lokacijskim faktorjem ter način dodelitve pripadajočega lokacijskega faktorja za posamezno stanovanje.</w:t>
      </w:r>
      <w:r>
        <w:rPr>
          <w:rFonts w:cs="Arial"/>
          <w:szCs w:val="20"/>
        </w:rPr>
        <w:t xml:space="preserve"> D</w:t>
      </w:r>
      <w:r w:rsidRPr="00FB367C">
        <w:rPr>
          <w:rFonts w:cs="Arial"/>
          <w:szCs w:val="20"/>
        </w:rPr>
        <w:t>oločitev vpliva lokacije na višino najemnine v obliki lokacijskega faktorja</w:t>
      </w:r>
      <w:r>
        <w:rPr>
          <w:rFonts w:cs="Arial"/>
          <w:szCs w:val="20"/>
        </w:rPr>
        <w:t xml:space="preserve"> je obvezna in lahko </w:t>
      </w:r>
      <w:r w:rsidRPr="00FB367C">
        <w:rPr>
          <w:rFonts w:cs="Arial"/>
          <w:szCs w:val="20"/>
        </w:rPr>
        <w:t>znaša največ 30 % od najemnine.</w:t>
      </w:r>
      <w:r>
        <w:rPr>
          <w:rFonts w:cs="Arial"/>
          <w:szCs w:val="20"/>
        </w:rPr>
        <w:t xml:space="preserve"> Vlada z Uredbo določa lokacijske</w:t>
      </w:r>
      <w:r w:rsidRPr="00FB367C">
        <w:rPr>
          <w:rFonts w:cs="Arial"/>
          <w:szCs w:val="20"/>
        </w:rPr>
        <w:t xml:space="preserve"> faktor</w:t>
      </w:r>
      <w:r>
        <w:rPr>
          <w:rFonts w:cs="Arial"/>
          <w:szCs w:val="20"/>
        </w:rPr>
        <w:t>je</w:t>
      </w:r>
      <w:r w:rsidRPr="00FB367C">
        <w:rPr>
          <w:rFonts w:cs="Arial"/>
          <w:szCs w:val="20"/>
        </w:rPr>
        <w:t xml:space="preserve"> na podlagi vrednostnih ravni in con, kot so uporabljene v modelu vrednotenja za stavbna zemljišča po določbah predpisov, ki urejajo množično vrednotenje nepremičnin.</w:t>
      </w:r>
    </w:p>
    <w:p w14:paraId="3821A766" w14:textId="77777777" w:rsidR="008A6ACE" w:rsidRPr="008A6ACE" w:rsidRDefault="008A6ACE" w:rsidP="00A2661B">
      <w:pPr>
        <w:spacing w:line="276" w:lineRule="auto"/>
        <w:ind w:left="360"/>
        <w:jc w:val="both"/>
        <w:rPr>
          <w:rFonts w:cs="Arial"/>
          <w:szCs w:val="20"/>
        </w:rPr>
      </w:pPr>
    </w:p>
    <w:p w14:paraId="7E1FC520" w14:textId="77777777" w:rsidR="000B5310" w:rsidRPr="008A6ACE" w:rsidRDefault="008A6ACE" w:rsidP="00A2661B">
      <w:pPr>
        <w:spacing w:line="276" w:lineRule="auto"/>
        <w:ind w:left="360"/>
        <w:jc w:val="both"/>
        <w:rPr>
          <w:rFonts w:cs="Arial"/>
          <w:szCs w:val="20"/>
        </w:rPr>
      </w:pPr>
      <w:r w:rsidRPr="008A6ACE">
        <w:rPr>
          <w:rFonts w:cs="Arial"/>
          <w:szCs w:val="20"/>
        </w:rPr>
        <w:t>Na področju subvencioniranja najemnin Uredba opredeljuje način izračuna višine subvencije neprofitne najemnine in višine subvencije k plačilu tržne najemnine ter določa najvišje priznane tržne najemnine za posamezne statistični regije, ki so sestavni del metodologije izračuna subvencije k plačilu tržne najemnine.</w:t>
      </w:r>
    </w:p>
    <w:p w14:paraId="23DA4AFF" w14:textId="77777777" w:rsidR="00CA678E" w:rsidRPr="002D49BD" w:rsidRDefault="00CA678E" w:rsidP="00A2661B">
      <w:pPr>
        <w:tabs>
          <w:tab w:val="left" w:pos="708"/>
        </w:tabs>
        <w:spacing w:line="276" w:lineRule="auto"/>
        <w:jc w:val="both"/>
        <w:rPr>
          <w:rFonts w:cs="Arial"/>
          <w:b/>
          <w:szCs w:val="20"/>
        </w:rPr>
      </w:pPr>
    </w:p>
    <w:p w14:paraId="087BE18C" w14:textId="77777777" w:rsidR="00CA678E" w:rsidRPr="002D49BD" w:rsidRDefault="00CA678E" w:rsidP="00A2661B">
      <w:pPr>
        <w:numPr>
          <w:ilvl w:val="0"/>
          <w:numId w:val="22"/>
        </w:numPr>
        <w:tabs>
          <w:tab w:val="num" w:pos="0"/>
        </w:tabs>
        <w:spacing w:line="276" w:lineRule="auto"/>
        <w:ind w:left="360"/>
        <w:jc w:val="both"/>
        <w:rPr>
          <w:rFonts w:cs="Arial"/>
          <w:b/>
          <w:szCs w:val="20"/>
        </w:rPr>
      </w:pPr>
      <w:r w:rsidRPr="002D49BD">
        <w:rPr>
          <w:rFonts w:cs="Arial"/>
          <w:b/>
          <w:szCs w:val="20"/>
        </w:rPr>
        <w:t>Predstavitev presoje posledic za posamezna področja, če te niso mogle biti celovito predstavljene v predlogu zakona</w:t>
      </w:r>
    </w:p>
    <w:p w14:paraId="13886139" w14:textId="77777777" w:rsidR="00CA678E" w:rsidRPr="002D49BD" w:rsidRDefault="00CA678E" w:rsidP="00A2661B">
      <w:pPr>
        <w:spacing w:line="276" w:lineRule="auto"/>
        <w:jc w:val="both"/>
        <w:rPr>
          <w:rFonts w:cs="Arial"/>
          <w:szCs w:val="20"/>
          <w:lang w:eastAsia="sl-SI"/>
        </w:rPr>
      </w:pPr>
    </w:p>
    <w:p w14:paraId="7206855F" w14:textId="77777777" w:rsidR="00A96677" w:rsidRDefault="00AD0CBB" w:rsidP="00A2661B">
      <w:pPr>
        <w:pStyle w:val="Odstavekseznama"/>
        <w:numPr>
          <w:ilvl w:val="1"/>
          <w:numId w:val="33"/>
        </w:numPr>
        <w:spacing w:line="276" w:lineRule="auto"/>
        <w:rPr>
          <w:rFonts w:cs="Arial"/>
        </w:rPr>
      </w:pPr>
      <w:r w:rsidRPr="00AD0CBB">
        <w:rPr>
          <w:rFonts w:cs="Arial"/>
        </w:rPr>
        <w:lastRenderedPageBreak/>
        <w:t>Predstavitev ocene finančnih posledic</w:t>
      </w:r>
    </w:p>
    <w:p w14:paraId="7F377A27" w14:textId="77777777" w:rsidR="00AD0CBB" w:rsidRDefault="00AD0CBB" w:rsidP="00A2661B">
      <w:pPr>
        <w:spacing w:line="276" w:lineRule="auto"/>
        <w:rPr>
          <w:rFonts w:cs="Arial"/>
        </w:rPr>
      </w:pPr>
    </w:p>
    <w:p w14:paraId="0E56390F" w14:textId="77777777" w:rsidR="00AD0CBB" w:rsidRDefault="00AD0CBB" w:rsidP="00A2661B">
      <w:pPr>
        <w:spacing w:line="276" w:lineRule="auto"/>
        <w:jc w:val="both"/>
        <w:rPr>
          <w:szCs w:val="20"/>
        </w:rPr>
      </w:pPr>
      <w:r>
        <w:rPr>
          <w:szCs w:val="20"/>
        </w:rPr>
        <w:t xml:space="preserve">Kot </w:t>
      </w:r>
      <w:r w:rsidRPr="00AD0CBB">
        <w:rPr>
          <w:szCs w:val="20"/>
        </w:rPr>
        <w:t>posledic</w:t>
      </w:r>
      <w:r>
        <w:rPr>
          <w:szCs w:val="20"/>
        </w:rPr>
        <w:t>a</w:t>
      </w:r>
      <w:r w:rsidRPr="00AD0CBB">
        <w:rPr>
          <w:szCs w:val="20"/>
        </w:rPr>
        <w:t xml:space="preserve"> uvedbe lokacijskega faktorja</w:t>
      </w:r>
      <w:r>
        <w:rPr>
          <w:szCs w:val="20"/>
        </w:rPr>
        <w:t xml:space="preserve"> pri izračunu neprofitne najemnine se bodo</w:t>
      </w:r>
      <w:r w:rsidRPr="00AD0CBB">
        <w:rPr>
          <w:szCs w:val="20"/>
        </w:rPr>
        <w:t xml:space="preserve"> odhodkov občinskih proračunov</w:t>
      </w:r>
      <w:r>
        <w:rPr>
          <w:szCs w:val="20"/>
        </w:rPr>
        <w:t xml:space="preserve"> povečali z naslova višjega skupnega zneska subvencij neprofitnih najemnin. Predvideno povečanje odhodkov bo postopno zaradi postopne uskladitve višine neprofitne najemnine, kot jo določa Zakon o spremembah in dopolnitvah Stanovanjskega zakona (Uradni list </w:t>
      </w:r>
      <w:r w:rsidRPr="00AD0CBB">
        <w:rPr>
          <w:szCs w:val="20"/>
        </w:rPr>
        <w:t>RS, št.</w:t>
      </w:r>
      <w:r>
        <w:rPr>
          <w:szCs w:val="20"/>
        </w:rPr>
        <w:t xml:space="preserve"> 90/21).</w:t>
      </w:r>
    </w:p>
    <w:p w14:paraId="1CD7B6EA" w14:textId="77777777" w:rsidR="00AD0CBB" w:rsidRDefault="00AD0CBB" w:rsidP="00A2661B">
      <w:pPr>
        <w:spacing w:line="276" w:lineRule="auto"/>
        <w:jc w:val="both"/>
        <w:rPr>
          <w:szCs w:val="20"/>
        </w:rPr>
      </w:pPr>
    </w:p>
    <w:p w14:paraId="1A90E6E8" w14:textId="77777777" w:rsidR="00AD0CBB" w:rsidRDefault="00612FAC" w:rsidP="00A2661B">
      <w:pPr>
        <w:spacing w:line="276" w:lineRule="auto"/>
        <w:jc w:val="both"/>
        <w:rPr>
          <w:szCs w:val="20"/>
        </w:rPr>
      </w:pPr>
      <w:r w:rsidRPr="00612FAC">
        <w:rPr>
          <w:szCs w:val="20"/>
        </w:rPr>
        <w:t xml:space="preserve">Povišanje izdatkov </w:t>
      </w:r>
      <w:r>
        <w:rPr>
          <w:szCs w:val="20"/>
        </w:rPr>
        <w:t xml:space="preserve">občinskih proračunov </w:t>
      </w:r>
      <w:r w:rsidRPr="00612FAC">
        <w:rPr>
          <w:szCs w:val="20"/>
        </w:rPr>
        <w:t>za subvencije neprofitnih najemnin zaradi povišanja neprofitnih najemnin ob uveljavitvi vpliva lokacije</w:t>
      </w:r>
      <w:r>
        <w:rPr>
          <w:szCs w:val="20"/>
        </w:rPr>
        <w:t xml:space="preserve"> bo po posameznih letih do leta 2024, ko se višina neprofitne najemnine uskladi do končne višine, tako znašalo:</w:t>
      </w:r>
    </w:p>
    <w:p w14:paraId="43F71917" w14:textId="77777777" w:rsidR="00612FAC" w:rsidRDefault="00612FAC" w:rsidP="00A2661B">
      <w:pPr>
        <w:spacing w:line="276" w:lineRule="auto"/>
        <w:jc w:val="both"/>
        <w:rPr>
          <w:szCs w:val="20"/>
        </w:rPr>
      </w:pPr>
    </w:p>
    <w:tbl>
      <w:tblPr>
        <w:tblStyle w:val="Tabelamrea"/>
        <w:tblW w:w="0" w:type="auto"/>
        <w:tblInd w:w="108" w:type="dxa"/>
        <w:tblLook w:val="04A0" w:firstRow="1" w:lastRow="0" w:firstColumn="1" w:lastColumn="0" w:noHBand="0" w:noVBand="1"/>
      </w:tblPr>
      <w:tblGrid>
        <w:gridCol w:w="1262"/>
        <w:gridCol w:w="7118"/>
      </w:tblGrid>
      <w:tr w:rsidR="00612FAC" w14:paraId="504EBCC7" w14:textId="77777777" w:rsidTr="00B93EDE">
        <w:tc>
          <w:tcPr>
            <w:tcW w:w="1276" w:type="dxa"/>
          </w:tcPr>
          <w:p w14:paraId="798A53C7" w14:textId="77777777" w:rsidR="00612FAC" w:rsidRPr="00612FAC" w:rsidRDefault="00612FAC" w:rsidP="00A2661B">
            <w:pPr>
              <w:spacing w:line="276" w:lineRule="auto"/>
              <w:jc w:val="center"/>
              <w:rPr>
                <w:b/>
                <w:szCs w:val="20"/>
              </w:rPr>
            </w:pPr>
            <w:r w:rsidRPr="00612FAC">
              <w:rPr>
                <w:b/>
                <w:szCs w:val="20"/>
              </w:rPr>
              <w:t>Leto</w:t>
            </w:r>
          </w:p>
        </w:tc>
        <w:tc>
          <w:tcPr>
            <w:tcW w:w="7254" w:type="dxa"/>
          </w:tcPr>
          <w:p w14:paraId="4ABD03FC" w14:textId="77777777" w:rsidR="00612FAC" w:rsidRPr="00612FAC" w:rsidRDefault="00612FAC" w:rsidP="00A2661B">
            <w:pPr>
              <w:spacing w:line="276" w:lineRule="auto"/>
              <w:jc w:val="center"/>
              <w:rPr>
                <w:b/>
                <w:szCs w:val="20"/>
              </w:rPr>
            </w:pPr>
            <w:r w:rsidRPr="00612FAC">
              <w:rPr>
                <w:b/>
                <w:szCs w:val="20"/>
              </w:rPr>
              <w:t xml:space="preserve">Povišanje izdatkov za subvencije neprofitnih najemnin </w:t>
            </w:r>
          </w:p>
        </w:tc>
      </w:tr>
      <w:tr w:rsidR="00612FAC" w14:paraId="27A03052" w14:textId="77777777" w:rsidTr="00B93EDE">
        <w:tc>
          <w:tcPr>
            <w:tcW w:w="1276" w:type="dxa"/>
          </w:tcPr>
          <w:p w14:paraId="77ACFD26" w14:textId="77777777" w:rsidR="00612FAC" w:rsidRDefault="00612FAC" w:rsidP="00A2661B">
            <w:pPr>
              <w:spacing w:line="276" w:lineRule="auto"/>
              <w:jc w:val="center"/>
              <w:rPr>
                <w:szCs w:val="20"/>
              </w:rPr>
            </w:pPr>
            <w:r w:rsidRPr="00612FAC">
              <w:rPr>
                <w:szCs w:val="20"/>
              </w:rPr>
              <w:t>2021</w:t>
            </w:r>
          </w:p>
        </w:tc>
        <w:tc>
          <w:tcPr>
            <w:tcW w:w="7254" w:type="dxa"/>
          </w:tcPr>
          <w:p w14:paraId="4278995C" w14:textId="77777777" w:rsidR="00612FAC" w:rsidRDefault="00612FAC" w:rsidP="00A2661B">
            <w:pPr>
              <w:spacing w:line="276" w:lineRule="auto"/>
              <w:jc w:val="center"/>
              <w:rPr>
                <w:szCs w:val="20"/>
              </w:rPr>
            </w:pPr>
            <w:r w:rsidRPr="00612FAC">
              <w:rPr>
                <w:szCs w:val="20"/>
              </w:rPr>
              <w:t>158.068 EUR</w:t>
            </w:r>
          </w:p>
        </w:tc>
      </w:tr>
      <w:tr w:rsidR="00612FAC" w14:paraId="6DE2776A" w14:textId="77777777" w:rsidTr="00B93EDE">
        <w:tc>
          <w:tcPr>
            <w:tcW w:w="1276" w:type="dxa"/>
          </w:tcPr>
          <w:p w14:paraId="476A81B8" w14:textId="77777777" w:rsidR="00612FAC" w:rsidRDefault="00612FAC" w:rsidP="00A2661B">
            <w:pPr>
              <w:spacing w:line="276" w:lineRule="auto"/>
              <w:jc w:val="center"/>
              <w:rPr>
                <w:szCs w:val="20"/>
              </w:rPr>
            </w:pPr>
            <w:r w:rsidRPr="00612FAC">
              <w:rPr>
                <w:szCs w:val="20"/>
              </w:rPr>
              <w:t>2022</w:t>
            </w:r>
          </w:p>
        </w:tc>
        <w:tc>
          <w:tcPr>
            <w:tcW w:w="7254" w:type="dxa"/>
          </w:tcPr>
          <w:p w14:paraId="5BFF5811" w14:textId="77777777" w:rsidR="00612FAC" w:rsidRDefault="00612FAC" w:rsidP="00A2661B">
            <w:pPr>
              <w:spacing w:line="276" w:lineRule="auto"/>
              <w:jc w:val="center"/>
              <w:rPr>
                <w:szCs w:val="20"/>
              </w:rPr>
            </w:pPr>
            <w:r>
              <w:rPr>
                <w:szCs w:val="20"/>
              </w:rPr>
              <w:t>1.022.655 EUR</w:t>
            </w:r>
          </w:p>
        </w:tc>
      </w:tr>
      <w:tr w:rsidR="00612FAC" w14:paraId="60694649" w14:textId="77777777" w:rsidTr="00B93EDE">
        <w:tc>
          <w:tcPr>
            <w:tcW w:w="1276" w:type="dxa"/>
          </w:tcPr>
          <w:p w14:paraId="240C0549" w14:textId="77777777" w:rsidR="00612FAC" w:rsidRDefault="00612FAC" w:rsidP="00A2661B">
            <w:pPr>
              <w:spacing w:line="276" w:lineRule="auto"/>
              <w:jc w:val="center"/>
              <w:rPr>
                <w:szCs w:val="20"/>
              </w:rPr>
            </w:pPr>
            <w:r>
              <w:rPr>
                <w:szCs w:val="20"/>
              </w:rPr>
              <w:t>2023</w:t>
            </w:r>
          </w:p>
        </w:tc>
        <w:tc>
          <w:tcPr>
            <w:tcW w:w="7254" w:type="dxa"/>
          </w:tcPr>
          <w:p w14:paraId="7C338B05" w14:textId="77777777" w:rsidR="00612FAC" w:rsidRDefault="00612FAC" w:rsidP="00A2661B">
            <w:pPr>
              <w:spacing w:line="276" w:lineRule="auto"/>
              <w:jc w:val="center"/>
              <w:rPr>
                <w:szCs w:val="20"/>
              </w:rPr>
            </w:pPr>
            <w:r w:rsidRPr="00612FAC">
              <w:rPr>
                <w:szCs w:val="20"/>
              </w:rPr>
              <w:t>1.121.655 EUR</w:t>
            </w:r>
          </w:p>
        </w:tc>
      </w:tr>
      <w:tr w:rsidR="00612FAC" w14:paraId="5E80C25D" w14:textId="77777777" w:rsidTr="00B93EDE">
        <w:tc>
          <w:tcPr>
            <w:tcW w:w="1276" w:type="dxa"/>
          </w:tcPr>
          <w:p w14:paraId="41BA47F2" w14:textId="77777777" w:rsidR="00612FAC" w:rsidRDefault="00612FAC" w:rsidP="00A2661B">
            <w:pPr>
              <w:spacing w:line="276" w:lineRule="auto"/>
              <w:jc w:val="center"/>
              <w:rPr>
                <w:szCs w:val="20"/>
              </w:rPr>
            </w:pPr>
            <w:r w:rsidRPr="00612FAC">
              <w:rPr>
                <w:szCs w:val="20"/>
              </w:rPr>
              <w:t>2024</w:t>
            </w:r>
          </w:p>
        </w:tc>
        <w:tc>
          <w:tcPr>
            <w:tcW w:w="7254" w:type="dxa"/>
          </w:tcPr>
          <w:p w14:paraId="2266D832" w14:textId="77777777" w:rsidR="00612FAC" w:rsidRDefault="00612FAC" w:rsidP="00A2661B">
            <w:pPr>
              <w:spacing w:line="276" w:lineRule="auto"/>
              <w:jc w:val="center"/>
              <w:rPr>
                <w:szCs w:val="20"/>
              </w:rPr>
            </w:pPr>
            <w:r w:rsidRPr="00612FAC">
              <w:rPr>
                <w:szCs w:val="20"/>
              </w:rPr>
              <w:t>1.146.405 EUR</w:t>
            </w:r>
          </w:p>
        </w:tc>
      </w:tr>
    </w:tbl>
    <w:p w14:paraId="0CAD5F93" w14:textId="77777777" w:rsidR="00612FAC" w:rsidRDefault="00612FAC" w:rsidP="00A2661B">
      <w:pPr>
        <w:spacing w:line="276" w:lineRule="auto"/>
        <w:jc w:val="both"/>
        <w:rPr>
          <w:szCs w:val="20"/>
        </w:rPr>
      </w:pPr>
    </w:p>
    <w:p w14:paraId="7238528E" w14:textId="77777777" w:rsidR="00AD0CBB" w:rsidRDefault="00AD0CBB" w:rsidP="00A2661B">
      <w:pPr>
        <w:spacing w:line="276" w:lineRule="auto"/>
        <w:jc w:val="both"/>
        <w:rPr>
          <w:szCs w:val="20"/>
        </w:rPr>
      </w:pPr>
      <w:r>
        <w:rPr>
          <w:szCs w:val="20"/>
        </w:rPr>
        <w:t>Analiza razpoložljivih podatkov</w:t>
      </w:r>
      <w:r w:rsidR="00612FAC">
        <w:rPr>
          <w:szCs w:val="20"/>
        </w:rPr>
        <w:t xml:space="preserve"> pa hkrati</w:t>
      </w:r>
      <w:r>
        <w:rPr>
          <w:szCs w:val="20"/>
        </w:rPr>
        <w:t xml:space="preserve"> kaže, da se bo občinam ob uveljavitvi polne vrednosti točke za izračun neprofitne najemnine v višini 3,50 EUR, ki bo uveljavljena s 1. 4. 2023, zaradi lokacijskega faktorja, določenega s strani države, priliv na letni ravni dodatno povečal za </w:t>
      </w:r>
      <w:r w:rsidRPr="00180EE8">
        <w:rPr>
          <w:szCs w:val="20"/>
        </w:rPr>
        <w:t xml:space="preserve">5.394.697 </w:t>
      </w:r>
      <w:r>
        <w:rPr>
          <w:szCs w:val="20"/>
        </w:rPr>
        <w:t xml:space="preserve">EUR. Ob upoštevanju večjih izdatkov občin za subvencije neprofitnih najemnin, ki se bodo zaradi uvedbe lokacijskega faktorja sorazmerno povečale, pa se bo skupni neto prihodek občin na letni ravni povečal za </w:t>
      </w:r>
      <w:r w:rsidRPr="00180EE8">
        <w:rPr>
          <w:szCs w:val="20"/>
        </w:rPr>
        <w:t xml:space="preserve">4.248.292 </w:t>
      </w:r>
      <w:r w:rsidRPr="00D97732">
        <w:rPr>
          <w:szCs w:val="20"/>
        </w:rPr>
        <w:t>EUR</w:t>
      </w:r>
      <w:r>
        <w:rPr>
          <w:szCs w:val="20"/>
        </w:rPr>
        <w:t xml:space="preserve">. Izračun izhaja iz predpostavke, da občine do sedaj vpliva lokacije pri izračunu neprofitne najemnine niso upoštevale. </w:t>
      </w:r>
    </w:p>
    <w:p w14:paraId="75C40EB7" w14:textId="77777777" w:rsidR="00AD0CBB" w:rsidRDefault="00AD0CBB" w:rsidP="00A2661B">
      <w:pPr>
        <w:spacing w:line="276" w:lineRule="auto"/>
        <w:jc w:val="both"/>
        <w:rPr>
          <w:szCs w:val="20"/>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2693"/>
      </w:tblGrid>
      <w:tr w:rsidR="00AD0CBB" w:rsidRPr="00D20B59" w14:paraId="47BC3FF5" w14:textId="77777777" w:rsidTr="00B93EDE">
        <w:trPr>
          <w:trHeight w:val="510"/>
        </w:trPr>
        <w:tc>
          <w:tcPr>
            <w:tcW w:w="5812" w:type="dxa"/>
            <w:shd w:val="clear" w:color="auto" w:fill="auto"/>
            <w:vAlign w:val="center"/>
          </w:tcPr>
          <w:p w14:paraId="7D756981" w14:textId="77777777" w:rsidR="00AD0CBB" w:rsidRPr="00D20B59" w:rsidRDefault="00AD0CBB" w:rsidP="00A2661B">
            <w:pPr>
              <w:spacing w:line="276" w:lineRule="auto"/>
              <w:rPr>
                <w:szCs w:val="20"/>
              </w:rPr>
            </w:pPr>
            <w:r>
              <w:rPr>
                <w:szCs w:val="20"/>
              </w:rPr>
              <w:t>Dodatni p</w:t>
            </w:r>
            <w:r w:rsidRPr="00D20B59">
              <w:rPr>
                <w:szCs w:val="20"/>
              </w:rPr>
              <w:t xml:space="preserve">rihodki z naslova </w:t>
            </w:r>
            <w:r>
              <w:rPr>
                <w:szCs w:val="20"/>
              </w:rPr>
              <w:t xml:space="preserve">vpliva lokacije pri izračunu </w:t>
            </w:r>
            <w:r w:rsidRPr="00D20B59">
              <w:rPr>
                <w:szCs w:val="20"/>
              </w:rPr>
              <w:t>neprofitnih najemnin za neprofitna stanovanja v lasti občin</w:t>
            </w:r>
          </w:p>
        </w:tc>
        <w:tc>
          <w:tcPr>
            <w:tcW w:w="2693" w:type="dxa"/>
            <w:shd w:val="clear" w:color="auto" w:fill="auto"/>
            <w:vAlign w:val="center"/>
          </w:tcPr>
          <w:p w14:paraId="1C5D70C7" w14:textId="77777777" w:rsidR="00AD0CBB" w:rsidRPr="00D20B59" w:rsidRDefault="00AD0CBB" w:rsidP="00A2661B">
            <w:pPr>
              <w:spacing w:line="276" w:lineRule="auto"/>
              <w:jc w:val="center"/>
              <w:rPr>
                <w:szCs w:val="20"/>
              </w:rPr>
            </w:pPr>
            <w:r w:rsidRPr="00D20B59">
              <w:rPr>
                <w:szCs w:val="20"/>
              </w:rPr>
              <w:t xml:space="preserve">+ </w:t>
            </w:r>
            <w:r>
              <w:rPr>
                <w:szCs w:val="20"/>
              </w:rPr>
              <w:t>5.394.697 EUR</w:t>
            </w:r>
          </w:p>
        </w:tc>
      </w:tr>
      <w:tr w:rsidR="00AD0CBB" w:rsidRPr="00D20B59" w14:paraId="14C5CC07" w14:textId="77777777" w:rsidTr="00B93EDE">
        <w:trPr>
          <w:trHeight w:val="510"/>
        </w:trPr>
        <w:tc>
          <w:tcPr>
            <w:tcW w:w="5812" w:type="dxa"/>
            <w:shd w:val="clear" w:color="auto" w:fill="auto"/>
            <w:vAlign w:val="center"/>
          </w:tcPr>
          <w:p w14:paraId="1BEE86A7" w14:textId="77777777" w:rsidR="00AD0CBB" w:rsidRPr="00D20B59" w:rsidRDefault="00AD0CBB" w:rsidP="00A2661B">
            <w:pPr>
              <w:spacing w:line="276" w:lineRule="auto"/>
              <w:rPr>
                <w:szCs w:val="20"/>
              </w:rPr>
            </w:pPr>
            <w:r>
              <w:rPr>
                <w:szCs w:val="20"/>
              </w:rPr>
              <w:t>Povišanje izdatkov</w:t>
            </w:r>
            <w:r w:rsidRPr="00D20B59">
              <w:rPr>
                <w:szCs w:val="20"/>
              </w:rPr>
              <w:t xml:space="preserve"> za subvencije neprofitnih najemnin</w:t>
            </w:r>
            <w:r>
              <w:rPr>
                <w:szCs w:val="20"/>
              </w:rPr>
              <w:t xml:space="preserve"> zaradi povišanja neprofitnih najemnin ob uveljavitvi vpliva lokacije</w:t>
            </w:r>
          </w:p>
        </w:tc>
        <w:tc>
          <w:tcPr>
            <w:tcW w:w="2693" w:type="dxa"/>
            <w:shd w:val="clear" w:color="auto" w:fill="auto"/>
            <w:vAlign w:val="center"/>
          </w:tcPr>
          <w:p w14:paraId="28B076AE" w14:textId="77777777" w:rsidR="00AD0CBB" w:rsidRPr="00D20B59" w:rsidRDefault="00AD0CBB" w:rsidP="00A2661B">
            <w:pPr>
              <w:spacing w:line="276" w:lineRule="auto"/>
              <w:jc w:val="center"/>
              <w:rPr>
                <w:szCs w:val="20"/>
              </w:rPr>
            </w:pPr>
            <w:r>
              <w:rPr>
                <w:szCs w:val="20"/>
              </w:rPr>
              <w:t>‒</w:t>
            </w:r>
            <w:r w:rsidRPr="00D20B59">
              <w:rPr>
                <w:szCs w:val="20"/>
              </w:rPr>
              <w:t xml:space="preserve"> </w:t>
            </w:r>
            <w:r w:rsidRPr="00180EE8">
              <w:rPr>
                <w:szCs w:val="20"/>
              </w:rPr>
              <w:t>1.146.405 EUR</w:t>
            </w:r>
          </w:p>
        </w:tc>
      </w:tr>
      <w:tr w:rsidR="00AD0CBB" w:rsidRPr="00D20B59" w14:paraId="67436D7E" w14:textId="77777777" w:rsidTr="00B93EDE">
        <w:trPr>
          <w:trHeight w:val="340"/>
        </w:trPr>
        <w:tc>
          <w:tcPr>
            <w:tcW w:w="5812" w:type="dxa"/>
            <w:shd w:val="clear" w:color="auto" w:fill="auto"/>
            <w:vAlign w:val="center"/>
          </w:tcPr>
          <w:p w14:paraId="0330E1B8" w14:textId="77777777" w:rsidR="00AD0CBB" w:rsidRPr="00D20B59" w:rsidRDefault="00AD0CBB" w:rsidP="00A2661B">
            <w:pPr>
              <w:spacing w:line="276" w:lineRule="auto"/>
              <w:rPr>
                <w:b/>
                <w:szCs w:val="20"/>
              </w:rPr>
            </w:pPr>
            <w:r w:rsidRPr="00D20B59">
              <w:rPr>
                <w:b/>
                <w:szCs w:val="20"/>
              </w:rPr>
              <w:t>Skupaj (neto)</w:t>
            </w:r>
          </w:p>
        </w:tc>
        <w:tc>
          <w:tcPr>
            <w:tcW w:w="2693" w:type="dxa"/>
            <w:shd w:val="clear" w:color="auto" w:fill="auto"/>
            <w:vAlign w:val="center"/>
          </w:tcPr>
          <w:p w14:paraId="054FF3AA" w14:textId="77777777" w:rsidR="00AD0CBB" w:rsidRPr="00D20B59" w:rsidRDefault="00AD0CBB" w:rsidP="00A2661B">
            <w:pPr>
              <w:spacing w:line="276" w:lineRule="auto"/>
              <w:jc w:val="center"/>
              <w:rPr>
                <w:b/>
                <w:szCs w:val="20"/>
              </w:rPr>
            </w:pPr>
            <w:r w:rsidRPr="00D20B59">
              <w:rPr>
                <w:b/>
                <w:szCs w:val="20"/>
              </w:rPr>
              <w:t xml:space="preserve">+ </w:t>
            </w:r>
            <w:r>
              <w:rPr>
                <w:b/>
                <w:szCs w:val="20"/>
              </w:rPr>
              <w:t xml:space="preserve">4.248.292 </w:t>
            </w:r>
            <w:r w:rsidRPr="00D20B59">
              <w:rPr>
                <w:b/>
                <w:szCs w:val="20"/>
              </w:rPr>
              <w:t>EUR</w:t>
            </w:r>
          </w:p>
        </w:tc>
      </w:tr>
    </w:tbl>
    <w:p w14:paraId="20CC561B" w14:textId="77777777" w:rsidR="00AD0CBB" w:rsidRDefault="00AD0CBB" w:rsidP="00A2661B">
      <w:pPr>
        <w:spacing w:line="276" w:lineRule="auto"/>
        <w:jc w:val="both"/>
        <w:rPr>
          <w:szCs w:val="20"/>
        </w:rPr>
      </w:pPr>
    </w:p>
    <w:p w14:paraId="5A0FFE1B" w14:textId="77777777" w:rsidR="00AD0CBB" w:rsidRPr="0008509C" w:rsidRDefault="00AD0CBB" w:rsidP="00A2661B">
      <w:pPr>
        <w:spacing w:line="276" w:lineRule="auto"/>
        <w:jc w:val="both"/>
        <w:rPr>
          <w:szCs w:val="20"/>
        </w:rPr>
      </w:pPr>
      <w:r>
        <w:rPr>
          <w:szCs w:val="20"/>
        </w:rPr>
        <w:t>Ocena sprememb izdatkov in prihodkov za občinske proračune je podana na podlagi razpoložljivih podatkov o dodeljenih subvencijah najemnine MDDSZ za leto 2019, povprečni površini neprofitnega stanovanja 55 m</w:t>
      </w:r>
      <w:r w:rsidRPr="002C683E">
        <w:rPr>
          <w:szCs w:val="20"/>
          <w:vertAlign w:val="superscript"/>
        </w:rPr>
        <w:t>2</w:t>
      </w:r>
      <w:r>
        <w:rPr>
          <w:szCs w:val="20"/>
        </w:rPr>
        <w:t>, maksimalni višini vrednosti točke (po SZ-1: 2,63 eura, po SZ-</w:t>
      </w:r>
      <w:proofErr w:type="spellStart"/>
      <w:r>
        <w:rPr>
          <w:szCs w:val="20"/>
        </w:rPr>
        <w:t>1E</w:t>
      </w:r>
      <w:proofErr w:type="spellEnd"/>
      <w:r>
        <w:rPr>
          <w:szCs w:val="20"/>
        </w:rPr>
        <w:t xml:space="preserve">: 3,50 eura), povprečne vrednosti lokacijskega faktorja 1,09 in podatka o številu neprofitnih stanovanj v lasti občin (skupno 17.499 – </w:t>
      </w:r>
      <w:r w:rsidRPr="00034068">
        <w:rPr>
          <w:szCs w:val="20"/>
        </w:rPr>
        <w:t>mestne občine 10</w:t>
      </w:r>
      <w:r>
        <w:rPr>
          <w:szCs w:val="20"/>
        </w:rPr>
        <w:t>.</w:t>
      </w:r>
      <w:r w:rsidRPr="00034068">
        <w:rPr>
          <w:szCs w:val="20"/>
        </w:rPr>
        <w:t>209, ostale</w:t>
      </w:r>
      <w:r>
        <w:rPr>
          <w:szCs w:val="20"/>
        </w:rPr>
        <w:t xml:space="preserve"> občine pa</w:t>
      </w:r>
      <w:r w:rsidRPr="00034068">
        <w:rPr>
          <w:szCs w:val="20"/>
        </w:rPr>
        <w:t xml:space="preserve"> 7</w:t>
      </w:r>
      <w:r>
        <w:rPr>
          <w:szCs w:val="20"/>
        </w:rPr>
        <w:t>.</w:t>
      </w:r>
      <w:r w:rsidRPr="00034068">
        <w:rPr>
          <w:szCs w:val="20"/>
        </w:rPr>
        <w:t>290)</w:t>
      </w:r>
      <w:r>
        <w:rPr>
          <w:szCs w:val="20"/>
        </w:rPr>
        <w:t>. Gre za enake podatke, ki so bili uporabljeni tudi za oceno sprememb izdatkov in prihodkov za občinske proračune ob uveljavitvi Zakona o spremembah in dopolnitvah Stanovanjskega zakona (SZ-1E).</w:t>
      </w:r>
    </w:p>
    <w:p w14:paraId="329449C5" w14:textId="77777777" w:rsidR="00AD0CBB" w:rsidRPr="00AD0CBB" w:rsidRDefault="00AD0CBB" w:rsidP="00A2661B">
      <w:pPr>
        <w:spacing w:line="276" w:lineRule="auto"/>
        <w:rPr>
          <w:rFonts w:cs="Arial"/>
        </w:rPr>
      </w:pPr>
    </w:p>
    <w:p w14:paraId="7DDEDCFC" w14:textId="77777777" w:rsidR="00CA678E" w:rsidRPr="002D49BD" w:rsidRDefault="00CA678E" w:rsidP="00A2661B">
      <w:pPr>
        <w:pStyle w:val="Odstavekseznama1"/>
        <w:spacing w:line="276" w:lineRule="auto"/>
        <w:ind w:left="0"/>
        <w:jc w:val="both"/>
        <w:rPr>
          <w:rFonts w:ascii="Arial" w:hAnsi="Arial" w:cs="Arial"/>
          <w:sz w:val="20"/>
          <w:szCs w:val="20"/>
        </w:rPr>
      </w:pPr>
    </w:p>
    <w:p w14:paraId="69D0A841" w14:textId="77777777" w:rsidR="00CA678E" w:rsidRPr="002D49BD" w:rsidRDefault="00CA678E" w:rsidP="00A2661B">
      <w:pPr>
        <w:tabs>
          <w:tab w:val="left" w:pos="708"/>
        </w:tabs>
        <w:spacing w:line="276" w:lineRule="auto"/>
        <w:jc w:val="both"/>
        <w:rPr>
          <w:rFonts w:cs="Arial"/>
          <w:szCs w:val="20"/>
        </w:rPr>
      </w:pPr>
      <w:r w:rsidRPr="002D49BD">
        <w:rPr>
          <w:rFonts w:cs="Arial"/>
          <w:szCs w:val="20"/>
        </w:rPr>
        <w:t>II. VSEBINSKA OBRAZLOŽITEV PREDLAGANIH REŠITEV</w:t>
      </w:r>
    </w:p>
    <w:p w14:paraId="04D3B76F" w14:textId="77777777" w:rsidR="00CA678E" w:rsidRPr="002D49BD" w:rsidRDefault="00CA678E" w:rsidP="00A2661B">
      <w:pPr>
        <w:tabs>
          <w:tab w:val="left" w:pos="708"/>
        </w:tabs>
        <w:spacing w:line="276" w:lineRule="auto"/>
        <w:jc w:val="both"/>
        <w:rPr>
          <w:rFonts w:cs="Arial"/>
          <w:b/>
          <w:szCs w:val="20"/>
        </w:rPr>
      </w:pPr>
    </w:p>
    <w:p w14:paraId="4930CD6E" w14:textId="77777777" w:rsidR="00CA678E" w:rsidRPr="000C16EB" w:rsidRDefault="005C210C" w:rsidP="00A2661B">
      <w:pPr>
        <w:spacing w:line="276" w:lineRule="auto"/>
        <w:jc w:val="both"/>
        <w:rPr>
          <w:rFonts w:cs="Arial"/>
          <w:szCs w:val="20"/>
          <w:highlight w:val="yellow"/>
        </w:rPr>
      </w:pPr>
      <w:r>
        <w:rPr>
          <w:rFonts w:cs="Arial"/>
          <w:szCs w:val="20"/>
        </w:rPr>
        <w:t>1</w:t>
      </w:r>
      <w:r w:rsidRPr="005C210C">
        <w:rPr>
          <w:rFonts w:cs="Arial"/>
          <w:szCs w:val="20"/>
        </w:rPr>
        <w:t>. METODOLOGIJA ZA OBLIKOVANJE NEPROFITNE NAJEMNINE</w:t>
      </w:r>
    </w:p>
    <w:p w14:paraId="7045BFF6" w14:textId="77777777" w:rsidR="000F4C75" w:rsidRDefault="000F4C75" w:rsidP="00A2661B">
      <w:pPr>
        <w:spacing w:line="276" w:lineRule="auto"/>
        <w:jc w:val="both"/>
        <w:rPr>
          <w:rFonts w:cs="Arial"/>
          <w:szCs w:val="20"/>
          <w:highlight w:val="yellow"/>
        </w:rPr>
      </w:pPr>
    </w:p>
    <w:p w14:paraId="3EE239C0" w14:textId="77777777" w:rsidR="003B1255" w:rsidRDefault="003B1255" w:rsidP="00A2661B">
      <w:pPr>
        <w:spacing w:line="276" w:lineRule="auto"/>
        <w:jc w:val="both"/>
      </w:pPr>
      <w:r w:rsidRPr="00354D58">
        <w:rPr>
          <w:rFonts w:cs="Arial"/>
          <w:szCs w:val="20"/>
        </w:rPr>
        <w:t xml:space="preserve">Neprofitna najemnina je </w:t>
      </w:r>
      <w:r w:rsidR="00354D58">
        <w:rPr>
          <w:rFonts w:cs="Arial"/>
          <w:szCs w:val="20"/>
        </w:rPr>
        <w:t>na podlagi formule določena</w:t>
      </w:r>
      <w:r w:rsidRPr="00354D58">
        <w:rPr>
          <w:rFonts w:cs="Arial"/>
          <w:szCs w:val="20"/>
        </w:rPr>
        <w:t xml:space="preserve"> že z zakonom ter s to uredbo. Višina neprofitne najemnine je odvisna od vrednosti stanovanja ter od letne stopnje najemnine. Vrednost stanovanja je zmnožek </w:t>
      </w:r>
      <w:r>
        <w:t>števila točk, vrednosti točke, uporabne stanovanjske površine, vpliv</w:t>
      </w:r>
      <w:r w:rsidR="00B86451">
        <w:t>a</w:t>
      </w:r>
      <w:r>
        <w:t xml:space="preserve"> velikosti stanovanja (korekcijski faktor) in vpliva lokacije stanovanja. Število točk, uporabno stanovanjsko površino in vpliv velikosti stanovanja se pridobijo iz </w:t>
      </w:r>
      <w:r w:rsidR="00B86451">
        <w:t>zapisnika o točkovanju</w:t>
      </w:r>
      <w:r>
        <w:t xml:space="preserve"> stanovanj</w:t>
      </w:r>
      <w:r w:rsidR="00B86451">
        <w:t>,</w:t>
      </w:r>
      <w:r>
        <w:t xml:space="preserve"> narejenem v skladu s </w:t>
      </w:r>
      <w:r w:rsidRPr="003B1255">
        <w:t>Pravilnik</w:t>
      </w:r>
      <w:r>
        <w:t>om</w:t>
      </w:r>
      <w:r w:rsidRPr="003B1255">
        <w:t xml:space="preserve"> o merilih za ugotavljanje vrednosti </w:t>
      </w:r>
      <w:r w:rsidRPr="003B1255">
        <w:lastRenderedPageBreak/>
        <w:t>stanovanj in stanovanjskih stavb (Uradni list RS, št. 127/04 in 69/05)</w:t>
      </w:r>
      <w:r>
        <w:t xml:space="preserve">. </w:t>
      </w:r>
      <w:r w:rsidR="00B86451">
        <w:t xml:space="preserve">Kot uporabno stanovanjsko površino pa se upošteva z zapisnikom ugotovljena uporabna popravljena neto tlorisna površina </w:t>
      </w:r>
      <w:r w:rsidR="00B86451" w:rsidRPr="00B86451">
        <w:t>stanovanja</w:t>
      </w:r>
      <w:r w:rsidR="00B86451">
        <w:t>.</w:t>
      </w:r>
      <w:r w:rsidR="00354D58">
        <w:t xml:space="preserve"> Vpliv lokacije stanovanja se določi z lokacijskim faktorjem, ki je po novem obvezen sestavni del enačbe. Le-ta se določi v skladu s to uredbo.</w:t>
      </w:r>
    </w:p>
    <w:p w14:paraId="07CE5E7C" w14:textId="77777777" w:rsidR="00407AF0" w:rsidRDefault="00407AF0" w:rsidP="00A2661B">
      <w:pPr>
        <w:spacing w:line="276" w:lineRule="auto"/>
        <w:jc w:val="both"/>
      </w:pPr>
    </w:p>
    <w:p w14:paraId="130B6576" w14:textId="77777777" w:rsidR="00B86451" w:rsidRDefault="00B86451" w:rsidP="00A2661B">
      <w:pPr>
        <w:spacing w:line="276" w:lineRule="auto"/>
        <w:jc w:val="both"/>
      </w:pPr>
      <w:r>
        <w:t xml:space="preserve">Vrednost točke bo po novem določena v zakonu in nič več v uredbi. Vrednost točke se bo v prehodnem obdobju poviševala dokler ne bo </w:t>
      </w:r>
      <w:r w:rsidR="00354D58">
        <w:t>njena vrednost</w:t>
      </w:r>
      <w:r>
        <w:t xml:space="preserve"> 3,50 eura, nato pa se bo ustrezno letno usklajevala z indeksom rasti cen življenjskih potrebščin</w:t>
      </w:r>
      <w:r w:rsidR="00354D58">
        <w:t xml:space="preserve">, </w:t>
      </w:r>
      <w:r>
        <w:t>ugotovljenim s strani Statističnega urada RS.</w:t>
      </w:r>
    </w:p>
    <w:p w14:paraId="37400C00" w14:textId="77777777" w:rsidR="00407AF0" w:rsidRDefault="00407AF0" w:rsidP="00A2661B">
      <w:pPr>
        <w:spacing w:line="276" w:lineRule="auto"/>
        <w:jc w:val="both"/>
      </w:pPr>
    </w:p>
    <w:p w14:paraId="2F193551" w14:textId="77777777" w:rsidR="00514B7A" w:rsidRDefault="00514B7A" w:rsidP="00A2661B">
      <w:pPr>
        <w:spacing w:line="276" w:lineRule="auto"/>
        <w:jc w:val="both"/>
      </w:pPr>
      <w:r>
        <w:t xml:space="preserve">Uredba določa tudi v zakonu določen obvezen vpliv lokacije. Vpliv lokacije je izražen z lokacijskim faktorjem, ki se ga določi s pomočjo vrednostnih ravni za stavba zemljišča po modelu množičnega vrednotenja določenega z </w:t>
      </w:r>
      <w:r w:rsidRPr="0029375D">
        <w:t>Uredbo o določitvi modelov vrednotenja nepremičnin (Uradni list RS, št. 22/20)</w:t>
      </w:r>
      <w:r w:rsidR="00767880">
        <w:t xml:space="preserve"> </w:t>
      </w:r>
      <w:r w:rsidR="00767880" w:rsidRPr="00767880">
        <w:t>z datumom modela vrednotenja 1. januar 2020</w:t>
      </w:r>
      <w:r>
        <w:t>. Glede na uvrstitev zemljišča s stavbo, v kateri se nahaja stanovanje, v določeno vrednostno cono za stavbna zemljišča z določeno vrednostno ravnjo, se temu stanovanju glede na podatek o vrednostni ravni vrednostne cone določi lokacijski faktor</w:t>
      </w:r>
      <w:r w:rsidR="00354D58">
        <w:t>, ki je določen v tabeli iz uredbe</w:t>
      </w:r>
      <w:r>
        <w:t xml:space="preserve">. </w:t>
      </w:r>
    </w:p>
    <w:p w14:paraId="751F2BAE" w14:textId="77777777" w:rsidR="00514B7A" w:rsidRDefault="00514B7A" w:rsidP="00A2661B">
      <w:pPr>
        <w:spacing w:line="276" w:lineRule="auto"/>
        <w:jc w:val="both"/>
      </w:pPr>
    </w:p>
    <w:p w14:paraId="47DBA873" w14:textId="77777777" w:rsidR="00514B7A" w:rsidRDefault="00514B7A" w:rsidP="00A2661B">
      <w:pPr>
        <w:spacing w:line="276" w:lineRule="auto"/>
        <w:jc w:val="both"/>
      </w:pPr>
      <w:r>
        <w:t>Model vrednotenja za stavbna zemljišča je bil vzpostavljen</w:t>
      </w:r>
      <w:r w:rsidR="00A80C9F">
        <w:t xml:space="preserve"> z</w:t>
      </w:r>
      <w:r>
        <w:t xml:space="preserve"> Zakonom o množičnem vrednotenju nepremičnin – ZMVN-1 (Uradni list RS, št. 77/17, 33/19 in 66/19, v nadaljevanju: ZMVN-1) ter z</w:t>
      </w:r>
      <w:r>
        <w:rPr>
          <w:rFonts w:cs="Arial"/>
          <w:szCs w:val="20"/>
        </w:rPr>
        <w:t xml:space="preserve"> </w:t>
      </w:r>
      <w:r w:rsidRPr="00034170">
        <w:t>Uredb</w:t>
      </w:r>
      <w:r>
        <w:t>o</w:t>
      </w:r>
      <w:r w:rsidRPr="00034170">
        <w:t xml:space="preserve"> o določitvi modelov vrednotenja nepremičnin (Uradni list RS, št. 22/20)</w:t>
      </w:r>
      <w:r>
        <w:t>. ZMVN-1 določa, da se model za stavbna zemljišča (STZ) uporablja za vrednotenje zemljišč, ki so po namenski rabi stavbna zemljišča in ostala zemljišča, ki po namenski rabi niso kmetijska ali gozdna. Model je zasnovan na načinu tržnih primerjav. Uredba o določitvi modelov vrednotenja nepremičnin določa vrednostne cone, vrednostne ravni, pripadajoče vrednostne tabele, točkovnike, točkovne razrede in faktorje, enačbe ter način uporabe element</w:t>
      </w:r>
      <w:r w:rsidR="00A80C9F">
        <w:t>ov modela vrednotenja</w:t>
      </w:r>
      <w:r>
        <w:t xml:space="preserve">. </w:t>
      </w:r>
      <w:r w:rsidRPr="00034170">
        <w:t>Vrednostne cone so določene s koordinatami v državnem koordinatnem sistemu in se izkazujejo v evidenci m</w:t>
      </w:r>
      <w:r>
        <w:t>odelov vrednotenja.</w:t>
      </w:r>
      <w:r w:rsidR="00A80C9F">
        <w:t xml:space="preserve"> Podatke o vrednostnih ravneh posameznih vrednostni con za stavbna zemljišča hrani GURS.</w:t>
      </w:r>
    </w:p>
    <w:p w14:paraId="50DA0F87" w14:textId="77777777" w:rsidR="00A80C9F" w:rsidRDefault="00A80C9F" w:rsidP="00A2661B">
      <w:pPr>
        <w:spacing w:line="276" w:lineRule="auto"/>
        <w:jc w:val="both"/>
      </w:pPr>
    </w:p>
    <w:p w14:paraId="5892A062" w14:textId="77777777" w:rsidR="00A80C9F" w:rsidRDefault="00A80C9F" w:rsidP="00A2661B">
      <w:pPr>
        <w:spacing w:line="276" w:lineRule="auto"/>
        <w:jc w:val="both"/>
      </w:pPr>
      <w:r>
        <w:t>Za namen uporabe vred</w:t>
      </w:r>
      <w:r w:rsidR="0000739F">
        <w:t>nostnih ravni določenimi</w:t>
      </w:r>
      <w:r>
        <w:t xml:space="preserve"> za</w:t>
      </w:r>
      <w:r w:rsidR="0000739F">
        <w:t xml:space="preserve"> vrednostne cone za </w:t>
      </w:r>
      <w:r>
        <w:t xml:space="preserve">stavbna zemljišča </w:t>
      </w:r>
      <w:r w:rsidR="0000739F">
        <w:t>pri določitvi</w:t>
      </w:r>
      <w:r>
        <w:t xml:space="preserve"> lokacijskega faktorja </w:t>
      </w:r>
      <w:r w:rsidR="0000739F">
        <w:t>po tej uredbi se bodo uporabili podatki o vrednostnih ravneh za vrednostne cone za stavbna zemljišča, ki so veljali na podlagi vrednotenja po Uredbi o določitvi modelov vrednotenja nepremičnin (Uradni list RS, št. 22/20)</w:t>
      </w:r>
      <w:r w:rsidR="00767880">
        <w:t xml:space="preserve"> </w:t>
      </w:r>
      <w:r w:rsidR="00767880" w:rsidRPr="00767880">
        <w:t>z datumom modela vrednotenja 1. januar 2020</w:t>
      </w:r>
      <w:r w:rsidR="0000739F">
        <w:t>, kar pomeni, da se bodo lokacijski faktorji določili fiksno in se s spremembami vrednosti vrednostne cone zaradi spremembe modela vrednotenja za stavbna zemljišča ne bodo usklajevali.</w:t>
      </w:r>
    </w:p>
    <w:p w14:paraId="0C1FB07D" w14:textId="77777777" w:rsidR="00570D41" w:rsidRDefault="00570D41" w:rsidP="00A2661B">
      <w:pPr>
        <w:spacing w:line="276" w:lineRule="auto"/>
        <w:jc w:val="both"/>
      </w:pPr>
    </w:p>
    <w:p w14:paraId="36C25991" w14:textId="77777777" w:rsidR="00570D41" w:rsidRPr="00985C7D" w:rsidRDefault="00570D41" w:rsidP="00570D41">
      <w:pPr>
        <w:jc w:val="both"/>
      </w:pPr>
      <w:r>
        <w:rPr>
          <w:rFonts w:eastAsia="Calibri"/>
          <w:szCs w:val="20"/>
        </w:rPr>
        <w:t>Podatki o vrednostni ravni in</w:t>
      </w:r>
      <w:r w:rsidRPr="0023474D">
        <w:rPr>
          <w:rFonts w:eastAsia="Calibri"/>
          <w:szCs w:val="20"/>
        </w:rPr>
        <w:t xml:space="preserve"> lokacijskem faktorju stanovanja se glede na lokacijo zemljiške parcele na kateri stoji stavba s tem stanovanjem vodijo v prostorskem informacijskem sistemu iz zakona, ki ureja prostor.</w:t>
      </w:r>
      <w:r>
        <w:rPr>
          <w:rFonts w:eastAsia="Calibri"/>
          <w:szCs w:val="20"/>
        </w:rPr>
        <w:t xml:space="preserve"> Predvidoma bo informacijska rešitev na voljo konec leta 2021. V vmesnem času (od 1.11.2021 do konca leta 2021) </w:t>
      </w:r>
      <w:r>
        <w:t>bodo podatki dostopni na ministrstvu pristojnem za prostor, ki bo</w:t>
      </w:r>
      <w:r w:rsidR="00120B14">
        <w:t xml:space="preserve"> v tem času</w:t>
      </w:r>
      <w:r>
        <w:t xml:space="preserve"> poskrbelo tako za distribucijo podatkov o lokacijskem faktorju (za stanovanjske sklade, NSO, občine,…) kot tudi za možnost preverbe lokacijskega faktorja za posamezno stanovanje.</w:t>
      </w:r>
    </w:p>
    <w:p w14:paraId="58F2E551" w14:textId="77777777" w:rsidR="00514B7A" w:rsidRDefault="00514B7A" w:rsidP="00A2661B">
      <w:pPr>
        <w:spacing w:line="276" w:lineRule="auto"/>
        <w:jc w:val="both"/>
      </w:pPr>
    </w:p>
    <w:p w14:paraId="795445DD" w14:textId="77777777" w:rsidR="00B86451" w:rsidRDefault="00B86451" w:rsidP="00A2661B">
      <w:pPr>
        <w:spacing w:line="276" w:lineRule="auto"/>
        <w:jc w:val="both"/>
      </w:pPr>
      <w:r>
        <w:t>Uredba določa tudi letne stopnje najemnine, ki so sicer obširneje določene s Stanovanjskim zakonom, z uredbo se pa sam</w:t>
      </w:r>
      <w:r w:rsidR="00514B7A">
        <w:t>o</w:t>
      </w:r>
      <w:r>
        <w:t xml:space="preserve"> povzamejo</w:t>
      </w:r>
      <w:r w:rsidR="00514B7A">
        <w:t xml:space="preserve"> elementi letne stopnje najemnine ter njihovi največji možni deleži. Namreč uredba določa najvišjo možno letno stopnjo najemnine, pri čemer lahko najemodajalec določi tudi nižjo letno stopnjo najemnine, če mu je to v interesu.</w:t>
      </w:r>
    </w:p>
    <w:p w14:paraId="31092FA3" w14:textId="77777777" w:rsidR="003B1255" w:rsidRDefault="003B1255" w:rsidP="00A2661B">
      <w:pPr>
        <w:spacing w:line="276" w:lineRule="auto"/>
        <w:jc w:val="both"/>
        <w:rPr>
          <w:rFonts w:cs="Arial"/>
          <w:szCs w:val="20"/>
          <w:highlight w:val="yellow"/>
        </w:rPr>
      </w:pPr>
    </w:p>
    <w:p w14:paraId="48755FE6" w14:textId="77777777" w:rsidR="00407AF0" w:rsidRDefault="00407AF0" w:rsidP="00A2661B">
      <w:pPr>
        <w:spacing w:line="276" w:lineRule="auto"/>
        <w:jc w:val="both"/>
        <w:rPr>
          <w:rFonts w:cs="Arial"/>
          <w:szCs w:val="20"/>
          <w:highlight w:val="yellow"/>
        </w:rPr>
      </w:pPr>
      <w:r w:rsidRPr="00354D58">
        <w:rPr>
          <w:rFonts w:cs="Arial"/>
          <w:szCs w:val="20"/>
        </w:rPr>
        <w:t xml:space="preserve">Z uredbo se tudi določa, da določitev višine neprofitne najemnine ni predmet pogajanj, temveč je zakonsko opredeljena najemnina, ki se brez sklepanja aneksa k najemni pogodbi spremeni </w:t>
      </w:r>
      <w:r w:rsidRPr="00354D58">
        <w:rPr>
          <w:rFonts w:cs="Arial"/>
          <w:szCs w:val="20"/>
        </w:rPr>
        <w:lastRenderedPageBreak/>
        <w:t xml:space="preserve">glede na spremembe elementov, ki opredeljujejo najemnino. </w:t>
      </w:r>
      <w:r w:rsidR="00A964EB">
        <w:rPr>
          <w:rFonts w:cs="Arial"/>
          <w:szCs w:val="20"/>
        </w:rPr>
        <w:t>Po novem se bo e</w:t>
      </w:r>
      <w:r w:rsidR="00354D58">
        <w:rPr>
          <w:rFonts w:cs="Arial"/>
          <w:szCs w:val="20"/>
        </w:rPr>
        <w:t>načba za izračun najemnine s podatki za izračun neprofitne najemnine naved</w:t>
      </w:r>
      <w:r w:rsidR="00A964EB">
        <w:rPr>
          <w:rFonts w:cs="Arial"/>
          <w:szCs w:val="20"/>
        </w:rPr>
        <w:t>la</w:t>
      </w:r>
      <w:r w:rsidR="00354D58">
        <w:rPr>
          <w:rFonts w:cs="Arial"/>
          <w:szCs w:val="20"/>
        </w:rPr>
        <w:t xml:space="preserve"> v najemni pogodbi. Na ta način se želi najemnika seznaniti o izračunu njegove neprofitne najemnine in mu s tem omogočiti odločeno pravno varnost, saj se</w:t>
      </w:r>
      <w:r w:rsidRPr="00354D58">
        <w:rPr>
          <w:rFonts w:cs="Arial"/>
          <w:szCs w:val="20"/>
        </w:rPr>
        <w:t xml:space="preserve"> ob povišanju vrednosti točke v prehodnem obdobju </w:t>
      </w:r>
      <w:r w:rsidR="00354D58">
        <w:rPr>
          <w:rFonts w:cs="Arial"/>
          <w:szCs w:val="20"/>
        </w:rPr>
        <w:t>in kasnejših morebitnih uskladitvah</w:t>
      </w:r>
      <w:r w:rsidRPr="00354D58">
        <w:rPr>
          <w:rFonts w:cs="Arial"/>
          <w:szCs w:val="20"/>
        </w:rPr>
        <w:t xml:space="preserve"> vrednosti točke ne bo sklepal aneks k najemni pogodbi, ki bi določal novo višino najemnine, temveč bo najemodajalec naredil nov izračun najemnine. Za vsako spremembo višine neprofitne najemnine bo moral najemodajalec pritožniku pojasniti razloge za spremembo višine najemnine</w:t>
      </w:r>
      <w:r w:rsidR="00A964EB">
        <w:rPr>
          <w:rFonts w:cs="Arial"/>
          <w:szCs w:val="20"/>
        </w:rPr>
        <w:t xml:space="preserve"> in podatke, ki so vplivali na nov izračun neprofitne najemnine</w:t>
      </w:r>
      <w:r w:rsidRPr="00354D58">
        <w:rPr>
          <w:rFonts w:cs="Arial"/>
          <w:szCs w:val="20"/>
        </w:rPr>
        <w:t xml:space="preserve">. </w:t>
      </w:r>
      <w:r w:rsidR="00B44993" w:rsidRPr="00354D58">
        <w:rPr>
          <w:rFonts w:cs="Arial"/>
          <w:szCs w:val="20"/>
        </w:rPr>
        <w:t>P</w:t>
      </w:r>
      <w:r w:rsidRPr="00354D58">
        <w:rPr>
          <w:rFonts w:cs="Arial"/>
          <w:szCs w:val="20"/>
        </w:rPr>
        <w:t xml:space="preserve">ojasnilo </w:t>
      </w:r>
      <w:r w:rsidR="00B44993" w:rsidRPr="00354D58">
        <w:rPr>
          <w:rFonts w:cs="Arial"/>
          <w:szCs w:val="20"/>
        </w:rPr>
        <w:t xml:space="preserve">najemodajalca </w:t>
      </w:r>
      <w:r w:rsidRPr="00354D58">
        <w:rPr>
          <w:rFonts w:cs="Arial"/>
          <w:szCs w:val="20"/>
        </w:rPr>
        <w:t xml:space="preserve">je lahko del položnice </w:t>
      </w:r>
      <w:r w:rsidR="00B44993" w:rsidRPr="00354D58">
        <w:rPr>
          <w:rFonts w:cs="Arial"/>
          <w:szCs w:val="20"/>
        </w:rPr>
        <w:t>ali pa se ga posreduje po elektronski pošti oziroma se ga posreduje na drug najbolj optimalen način</w:t>
      </w:r>
      <w:r w:rsidR="00B44993" w:rsidRPr="0065088A">
        <w:rPr>
          <w:rFonts w:cs="Arial"/>
          <w:szCs w:val="20"/>
        </w:rPr>
        <w:t xml:space="preserve">. </w:t>
      </w:r>
      <w:r w:rsidR="00A964EB" w:rsidRPr="0065088A">
        <w:rPr>
          <w:rFonts w:cs="Arial"/>
          <w:szCs w:val="20"/>
        </w:rPr>
        <w:t xml:space="preserve">Menimo, da se s seznanitvijo najemnika s čim več podatki omogoča transparentnost izračuna neprofitne najemnine ter se najemniku zagotovi varnost. Najemnik ima možnost, da preveri višino izračunane najemnine tako kot določa 120. člen Stanovanjskega zakona, pri čemer se varstvo njegovih pravic zagotovi na civilnem sodišču. </w:t>
      </w:r>
    </w:p>
    <w:p w14:paraId="59ECD2AB" w14:textId="77777777" w:rsidR="003B1255" w:rsidRPr="000C16EB" w:rsidRDefault="003B1255" w:rsidP="00A2661B">
      <w:pPr>
        <w:spacing w:line="276" w:lineRule="auto"/>
        <w:jc w:val="both"/>
        <w:rPr>
          <w:rFonts w:cs="Arial"/>
          <w:szCs w:val="20"/>
          <w:highlight w:val="yellow"/>
        </w:rPr>
      </w:pPr>
    </w:p>
    <w:p w14:paraId="6D5ADB56" w14:textId="77777777" w:rsidR="00CA678E" w:rsidRDefault="005C210C" w:rsidP="00A2661B">
      <w:pPr>
        <w:pStyle w:val="Telobesedila2"/>
        <w:spacing w:line="276" w:lineRule="auto"/>
        <w:rPr>
          <w:rFonts w:ascii="Arial" w:hAnsi="Arial" w:cs="Arial"/>
          <w:b w:val="0"/>
          <w:bCs w:val="0"/>
          <w:sz w:val="20"/>
          <w:szCs w:val="20"/>
        </w:rPr>
      </w:pPr>
      <w:r>
        <w:rPr>
          <w:rFonts w:ascii="Arial" w:hAnsi="Arial" w:cs="Arial"/>
          <w:b w:val="0"/>
          <w:bCs w:val="0"/>
          <w:sz w:val="20"/>
          <w:szCs w:val="20"/>
        </w:rPr>
        <w:t>2</w:t>
      </w:r>
      <w:r w:rsidRPr="005C210C">
        <w:rPr>
          <w:rFonts w:ascii="Arial" w:hAnsi="Arial" w:cs="Arial"/>
          <w:b w:val="0"/>
          <w:bCs w:val="0"/>
          <w:sz w:val="20"/>
          <w:szCs w:val="20"/>
        </w:rPr>
        <w:t>. VIŠINE SUBVENCIJ NAJEMNIN</w:t>
      </w:r>
    </w:p>
    <w:p w14:paraId="519D5DB0" w14:textId="77777777" w:rsidR="0000739F" w:rsidRDefault="0000739F" w:rsidP="00A2661B">
      <w:pPr>
        <w:pStyle w:val="Telobesedila2"/>
        <w:spacing w:line="276" w:lineRule="auto"/>
        <w:rPr>
          <w:rFonts w:ascii="Arial" w:hAnsi="Arial" w:cs="Arial"/>
          <w:b w:val="0"/>
          <w:bCs w:val="0"/>
          <w:sz w:val="20"/>
          <w:szCs w:val="20"/>
        </w:rPr>
      </w:pPr>
    </w:p>
    <w:p w14:paraId="1D201510" w14:textId="77777777" w:rsidR="0000739F" w:rsidRDefault="00407AF0" w:rsidP="00A2661B">
      <w:pPr>
        <w:pStyle w:val="Telobesedila2"/>
        <w:spacing w:line="276" w:lineRule="auto"/>
        <w:rPr>
          <w:rFonts w:ascii="Arial" w:hAnsi="Arial" w:cs="Arial"/>
          <w:b w:val="0"/>
          <w:bCs w:val="0"/>
          <w:sz w:val="20"/>
          <w:szCs w:val="20"/>
        </w:rPr>
      </w:pPr>
      <w:r>
        <w:rPr>
          <w:rFonts w:ascii="Arial" w:hAnsi="Arial" w:cs="Arial"/>
          <w:b w:val="0"/>
          <w:bCs w:val="0"/>
          <w:sz w:val="20"/>
          <w:szCs w:val="20"/>
        </w:rPr>
        <w:t>Pravica do subvencioniranja najemnin je določena tako v Zakonu o uveljavljanju pravic iz sredstev (v nadaljnjem besedilu: ZUPJS) kot v SZ-1. V ZUPJS so določeni pogoji za upravičenost do subvencije najemnine</w:t>
      </w:r>
      <w:r w:rsidR="005723BB">
        <w:rPr>
          <w:rFonts w:ascii="Arial" w:hAnsi="Arial" w:cs="Arial"/>
          <w:b w:val="0"/>
          <w:bCs w:val="0"/>
          <w:sz w:val="20"/>
          <w:szCs w:val="20"/>
        </w:rPr>
        <w:t xml:space="preserve"> (to je dohodkovni kot premoženjski pogoj za upravičenost do subvencije najemnine)</w:t>
      </w:r>
      <w:r w:rsidR="00A964EB">
        <w:rPr>
          <w:rFonts w:ascii="Arial" w:hAnsi="Arial" w:cs="Arial"/>
          <w:b w:val="0"/>
          <w:bCs w:val="0"/>
          <w:sz w:val="20"/>
          <w:szCs w:val="20"/>
        </w:rPr>
        <w:t xml:space="preserve"> ter postopek za pridobitev pravice do subvencije najemnine</w:t>
      </w:r>
      <w:r>
        <w:rPr>
          <w:rFonts w:ascii="Arial" w:hAnsi="Arial" w:cs="Arial"/>
          <w:b w:val="0"/>
          <w:bCs w:val="0"/>
          <w:sz w:val="20"/>
          <w:szCs w:val="20"/>
        </w:rPr>
        <w:t>, medtem ko ZUPJS napotuje na stanovanjsko zakonodajo glede določitve višine subvencije.</w:t>
      </w:r>
    </w:p>
    <w:p w14:paraId="72D4BE68" w14:textId="77777777" w:rsidR="00407AF0" w:rsidRDefault="00407AF0" w:rsidP="00A2661B">
      <w:pPr>
        <w:pStyle w:val="Telobesedila2"/>
        <w:spacing w:line="276" w:lineRule="auto"/>
        <w:rPr>
          <w:rFonts w:ascii="Arial" w:hAnsi="Arial" w:cs="Arial"/>
          <w:b w:val="0"/>
          <w:bCs w:val="0"/>
          <w:sz w:val="20"/>
          <w:szCs w:val="20"/>
        </w:rPr>
      </w:pPr>
    </w:p>
    <w:p w14:paraId="66999371" w14:textId="77777777" w:rsidR="00B44993" w:rsidRDefault="00407AF0" w:rsidP="00A2661B">
      <w:pPr>
        <w:pStyle w:val="Telobesedila2"/>
        <w:spacing w:line="276" w:lineRule="auto"/>
        <w:rPr>
          <w:rFonts w:ascii="Arial" w:hAnsi="Arial" w:cs="Arial"/>
          <w:b w:val="0"/>
          <w:bCs w:val="0"/>
          <w:sz w:val="20"/>
          <w:szCs w:val="20"/>
        </w:rPr>
      </w:pPr>
      <w:r>
        <w:rPr>
          <w:rFonts w:ascii="Arial" w:hAnsi="Arial" w:cs="Arial"/>
          <w:b w:val="0"/>
          <w:bCs w:val="0"/>
          <w:sz w:val="20"/>
          <w:szCs w:val="20"/>
        </w:rPr>
        <w:t>V zakonu sta opredeljeni dve subvenciji. To sta subvencija neprofitne najemnine in subven</w:t>
      </w:r>
      <w:r w:rsidR="00B44993">
        <w:rPr>
          <w:rFonts w:ascii="Arial" w:hAnsi="Arial" w:cs="Arial"/>
          <w:b w:val="0"/>
          <w:bCs w:val="0"/>
          <w:sz w:val="20"/>
          <w:szCs w:val="20"/>
        </w:rPr>
        <w:t>cija k plačilu tržne najemnine. Subvencionirajo se najemniki različnih stanovanj</w:t>
      </w:r>
      <w:r w:rsidR="004F4C67">
        <w:rPr>
          <w:rFonts w:ascii="Arial" w:hAnsi="Arial" w:cs="Arial"/>
          <w:b w:val="0"/>
          <w:bCs w:val="0"/>
          <w:sz w:val="20"/>
          <w:szCs w:val="20"/>
        </w:rPr>
        <w:t xml:space="preserve"> ali bivalnih enot, do katere subvencije pa so upravičeni, pa je odvisno, ali je zanje določena neprofitna najemnina v skladu z določbami SZ-1 in te uredbe ali </w:t>
      </w:r>
      <w:r w:rsidR="00A964EB">
        <w:rPr>
          <w:rFonts w:ascii="Arial" w:hAnsi="Arial" w:cs="Arial"/>
          <w:b w:val="0"/>
          <w:bCs w:val="0"/>
          <w:sz w:val="20"/>
          <w:szCs w:val="20"/>
        </w:rPr>
        <w:t xml:space="preserve">pa </w:t>
      </w:r>
      <w:r w:rsidR="004F4C67">
        <w:rPr>
          <w:rFonts w:ascii="Arial" w:hAnsi="Arial" w:cs="Arial"/>
          <w:b w:val="0"/>
          <w:bCs w:val="0"/>
          <w:sz w:val="20"/>
          <w:szCs w:val="20"/>
        </w:rPr>
        <w:t>je določena prosta najemnina.</w:t>
      </w:r>
    </w:p>
    <w:p w14:paraId="2CBA330A" w14:textId="77777777" w:rsidR="00407AF0" w:rsidRDefault="00B44993" w:rsidP="00A2661B">
      <w:pPr>
        <w:pStyle w:val="Telobesedila2"/>
        <w:spacing w:line="276" w:lineRule="auto"/>
        <w:rPr>
          <w:rFonts w:ascii="Arial" w:hAnsi="Arial" w:cs="Arial"/>
          <w:b w:val="0"/>
          <w:bCs w:val="0"/>
          <w:sz w:val="20"/>
          <w:szCs w:val="20"/>
        </w:rPr>
      </w:pPr>
      <w:r>
        <w:rPr>
          <w:rFonts w:ascii="Arial" w:hAnsi="Arial" w:cs="Arial"/>
          <w:b w:val="0"/>
          <w:bCs w:val="0"/>
          <w:sz w:val="20"/>
          <w:szCs w:val="20"/>
        </w:rPr>
        <w:t>Obe subvenciji se pa določita za površino stanovanja, ki naj bi bila primerna glede na število uporabnikov stanovanja.</w:t>
      </w:r>
      <w:r w:rsidR="004F4C67">
        <w:rPr>
          <w:rFonts w:ascii="Arial" w:hAnsi="Arial" w:cs="Arial"/>
          <w:b w:val="0"/>
          <w:bCs w:val="0"/>
          <w:sz w:val="20"/>
          <w:szCs w:val="20"/>
        </w:rPr>
        <w:t xml:space="preserve"> Zato ta uredba sprva določa velikost stanovanja, ki se šteje za primerno površino glede na število članov. Te določbe so bile prej del Pravilnika o dodeljevanju neprofitnih stanovanj v najem, vendar po vsebini spadajo v to uredbo, zato je zakonodajalec te določbe o primerni površini stanovanja prestavil v to uredbo.</w:t>
      </w:r>
    </w:p>
    <w:p w14:paraId="7E44CA11" w14:textId="77777777" w:rsidR="004F4C67" w:rsidRDefault="004F4C67" w:rsidP="00A2661B">
      <w:pPr>
        <w:pStyle w:val="Telobesedila2"/>
        <w:spacing w:line="276" w:lineRule="auto"/>
        <w:rPr>
          <w:rFonts w:ascii="Arial" w:hAnsi="Arial" w:cs="Arial"/>
          <w:b w:val="0"/>
          <w:bCs w:val="0"/>
          <w:sz w:val="20"/>
          <w:szCs w:val="20"/>
        </w:rPr>
      </w:pPr>
      <w:r>
        <w:rPr>
          <w:rFonts w:ascii="Arial" w:hAnsi="Arial" w:cs="Arial"/>
          <w:b w:val="0"/>
          <w:bCs w:val="0"/>
          <w:sz w:val="20"/>
          <w:szCs w:val="20"/>
        </w:rPr>
        <w:t>Kot primerna površina glede na šte</w:t>
      </w:r>
      <w:r w:rsidR="00A964EB">
        <w:rPr>
          <w:rFonts w:ascii="Arial" w:hAnsi="Arial" w:cs="Arial"/>
          <w:b w:val="0"/>
          <w:bCs w:val="0"/>
          <w:sz w:val="20"/>
          <w:szCs w:val="20"/>
        </w:rPr>
        <w:t xml:space="preserve">vilo uporabnikov stanovanja je </w:t>
      </w:r>
      <w:r>
        <w:rPr>
          <w:rFonts w:ascii="Arial" w:hAnsi="Arial" w:cs="Arial"/>
          <w:b w:val="0"/>
          <w:bCs w:val="0"/>
          <w:sz w:val="20"/>
          <w:szCs w:val="20"/>
        </w:rPr>
        <w:t>d</w:t>
      </w:r>
      <w:r w:rsidR="00A964EB">
        <w:rPr>
          <w:rFonts w:ascii="Arial" w:hAnsi="Arial" w:cs="Arial"/>
          <w:b w:val="0"/>
          <w:bCs w:val="0"/>
          <w:sz w:val="20"/>
          <w:szCs w:val="20"/>
        </w:rPr>
        <w:t>o</w:t>
      </w:r>
      <w:r>
        <w:rPr>
          <w:rFonts w:ascii="Arial" w:hAnsi="Arial" w:cs="Arial"/>
          <w:b w:val="0"/>
          <w:bCs w:val="0"/>
          <w:sz w:val="20"/>
          <w:szCs w:val="20"/>
        </w:rPr>
        <w:t xml:space="preserve">ločena enako kot prej. To so najvišje površine stanovanj določene pri </w:t>
      </w:r>
      <w:r w:rsidRPr="004F4C67">
        <w:rPr>
          <w:rFonts w:ascii="Arial" w:hAnsi="Arial" w:cs="Arial"/>
          <w:b w:val="0"/>
          <w:bCs w:val="0"/>
          <w:sz w:val="20"/>
          <w:szCs w:val="20"/>
        </w:rPr>
        <w:t>površinskih normativih za stanovanja brez plačila lastne udeležbe in varščine</w:t>
      </w:r>
      <w:r>
        <w:rPr>
          <w:rFonts w:ascii="Arial" w:hAnsi="Arial" w:cs="Arial"/>
          <w:b w:val="0"/>
          <w:bCs w:val="0"/>
          <w:sz w:val="20"/>
          <w:szCs w:val="20"/>
        </w:rPr>
        <w:t xml:space="preserve">. Kot primerna površina je tako določena za enega uporabnika do 30 m2, dva uporabnika do 45 m2, tri uporabnike do 55 m2, za štiri uporabnike do 65 m2, </w:t>
      </w:r>
      <w:r w:rsidR="005D2FA9">
        <w:rPr>
          <w:rFonts w:ascii="Arial" w:hAnsi="Arial" w:cs="Arial"/>
          <w:b w:val="0"/>
          <w:bCs w:val="0"/>
          <w:sz w:val="20"/>
          <w:szCs w:val="20"/>
        </w:rPr>
        <w:t xml:space="preserve">za pet uporabnikov do 75 m2, </w:t>
      </w:r>
      <w:r>
        <w:rPr>
          <w:rFonts w:ascii="Arial" w:hAnsi="Arial" w:cs="Arial"/>
          <w:b w:val="0"/>
          <w:bCs w:val="0"/>
          <w:sz w:val="20"/>
          <w:szCs w:val="20"/>
        </w:rPr>
        <w:t xml:space="preserve">za šest uporabnikov </w:t>
      </w:r>
      <w:r w:rsidR="005D2FA9">
        <w:rPr>
          <w:rFonts w:ascii="Arial" w:hAnsi="Arial" w:cs="Arial"/>
          <w:b w:val="0"/>
          <w:bCs w:val="0"/>
          <w:sz w:val="20"/>
          <w:szCs w:val="20"/>
        </w:rPr>
        <w:t xml:space="preserve">do 85 m2 ter za vsakega nadaljnjega uporabnika dodatnih 6 m2. Od te splošne določitve primerne površine stanovanja uredba določa dve izjemi. To je v primeru enega uporabnika stanovanja, ki mu ni bila dana možnost, da ima v najemu primerno veliko stanovanje, zato se mu prizna subvencija za največ 40 m2 površine stanovanja. Če pa zavrne primerno veliko stanovanje, se mu upošteva kot primerna površina do 30 m2. Druga izjema pa je določena za stanovanja, katerega uporabnik je invalid, ki ima </w:t>
      </w:r>
      <w:r w:rsidR="00017C34" w:rsidRPr="005D2FA9">
        <w:rPr>
          <w:rFonts w:ascii="Arial" w:hAnsi="Arial" w:cs="Arial"/>
          <w:b w:val="0"/>
          <w:bCs w:val="0"/>
          <w:sz w:val="20"/>
          <w:szCs w:val="20"/>
        </w:rPr>
        <w:t>otež</w:t>
      </w:r>
      <w:r w:rsidR="00017C34">
        <w:rPr>
          <w:rFonts w:ascii="Arial" w:hAnsi="Arial" w:cs="Arial"/>
          <w:b w:val="0"/>
          <w:bCs w:val="0"/>
          <w:sz w:val="20"/>
          <w:szCs w:val="20"/>
        </w:rPr>
        <w:t>eno</w:t>
      </w:r>
      <w:r w:rsidR="00017C34" w:rsidRPr="005D2FA9">
        <w:rPr>
          <w:rFonts w:ascii="Arial" w:hAnsi="Arial" w:cs="Arial"/>
          <w:b w:val="0"/>
          <w:bCs w:val="0"/>
          <w:sz w:val="20"/>
          <w:szCs w:val="20"/>
        </w:rPr>
        <w:t xml:space="preserve"> </w:t>
      </w:r>
      <w:r w:rsidR="005D2FA9" w:rsidRPr="005D2FA9">
        <w:rPr>
          <w:rFonts w:ascii="Arial" w:hAnsi="Arial" w:cs="Arial"/>
          <w:b w:val="0"/>
          <w:bCs w:val="0"/>
          <w:sz w:val="20"/>
          <w:szCs w:val="20"/>
        </w:rPr>
        <w:t>ali preprečeno normalno gibanje</w:t>
      </w:r>
      <w:r w:rsidR="005D2FA9">
        <w:rPr>
          <w:rFonts w:ascii="Arial" w:hAnsi="Arial" w:cs="Arial"/>
          <w:b w:val="0"/>
          <w:bCs w:val="0"/>
          <w:sz w:val="20"/>
          <w:szCs w:val="20"/>
        </w:rPr>
        <w:t xml:space="preserve">. Pri subvenciji neprofitne najemnine se v takem primeru upošteva kot primerna površina celotna površina stanovanja, pri subvencijah k plačilu tržne najemnine pa se upošteva </w:t>
      </w:r>
      <w:r w:rsidR="00CC0436">
        <w:rPr>
          <w:rFonts w:ascii="Arial" w:hAnsi="Arial" w:cs="Arial"/>
          <w:b w:val="0"/>
          <w:bCs w:val="0"/>
          <w:sz w:val="20"/>
          <w:szCs w:val="20"/>
        </w:rPr>
        <w:t xml:space="preserve">kot primerna površina splošno določena primerna površina glede na število uporabnikov povečana za 10 m2. </w:t>
      </w:r>
    </w:p>
    <w:p w14:paraId="3008DA4C" w14:textId="77777777" w:rsidR="00B44993" w:rsidRDefault="00B44993" w:rsidP="00A2661B">
      <w:pPr>
        <w:pStyle w:val="Telobesedila2"/>
        <w:spacing w:line="276" w:lineRule="auto"/>
        <w:rPr>
          <w:rFonts w:ascii="Arial" w:hAnsi="Arial" w:cs="Arial"/>
          <w:b w:val="0"/>
          <w:bCs w:val="0"/>
          <w:sz w:val="20"/>
          <w:szCs w:val="20"/>
        </w:rPr>
      </w:pPr>
    </w:p>
    <w:p w14:paraId="5EAB73A5" w14:textId="77777777" w:rsidR="00DC21E4" w:rsidRDefault="00DC21E4" w:rsidP="00A2661B">
      <w:pPr>
        <w:pStyle w:val="Telobesedila2"/>
        <w:spacing w:line="276" w:lineRule="auto"/>
        <w:rPr>
          <w:rFonts w:ascii="Arial" w:hAnsi="Arial" w:cs="Arial"/>
          <w:b w:val="0"/>
          <w:bCs w:val="0"/>
          <w:sz w:val="20"/>
          <w:szCs w:val="20"/>
        </w:rPr>
      </w:pPr>
      <w:r>
        <w:rPr>
          <w:rFonts w:ascii="Arial" w:hAnsi="Arial" w:cs="Arial"/>
          <w:b w:val="0"/>
          <w:bCs w:val="0"/>
          <w:sz w:val="20"/>
          <w:szCs w:val="20"/>
        </w:rPr>
        <w:t xml:space="preserve">Subvencija neprofitne najemnine se lahko določi od neprofitne najemnine, določene s to uredbo, ali od dejanske neprofitne najemnine, če bi bila le-ta nižja. Subvencija neprofitne najemnine se določi tako, da se od neprofitne najemnine odšteje ugotovljeni dohodek vseh uporabnikov stanovanja, ki je zmanjšan za minimalni dohodek vseh uporabnikov stanovanja ter 30% ugotovljenega dohodka vseh uporabnikov. Ugotovljeni dohodek se ugotovi po določbah </w:t>
      </w:r>
      <w:r>
        <w:rPr>
          <w:rFonts w:ascii="Arial" w:hAnsi="Arial" w:cs="Arial"/>
          <w:b w:val="0"/>
          <w:bCs w:val="0"/>
          <w:sz w:val="20"/>
          <w:szCs w:val="20"/>
        </w:rPr>
        <w:lastRenderedPageBreak/>
        <w:t xml:space="preserve">ZUPJS, minimalni dohodek pa po določbah Zakona o socialno varstvenih prejemkih, pri čemer se kot člani družine štejejo uporabniki navedeni v najemni pogodbi. </w:t>
      </w:r>
      <w:r w:rsidR="00421969">
        <w:rPr>
          <w:rFonts w:ascii="Arial" w:hAnsi="Arial" w:cs="Arial"/>
          <w:b w:val="0"/>
          <w:bCs w:val="0"/>
          <w:sz w:val="20"/>
          <w:szCs w:val="20"/>
        </w:rPr>
        <w:t>Minimalni dohodek se pri uporabniku, ki sam uporablja stanovanje poviša za 0,1 osnovnega zneska minimalnega dohodka, saj take uporabnike najbolj bremenijo stanovanjski stroški.</w:t>
      </w:r>
      <w:r w:rsidR="005723BB">
        <w:rPr>
          <w:rFonts w:ascii="Arial" w:hAnsi="Arial" w:cs="Arial"/>
          <w:b w:val="0"/>
          <w:bCs w:val="0"/>
          <w:sz w:val="20"/>
          <w:szCs w:val="20"/>
        </w:rPr>
        <w:t xml:space="preserve"> Spremenjena je tudi maksimalna višina subvencije, ki je po novem 85% neprofitne najemnine, saj se z višanjem vrednosti točke ter določitvijo lokacijskega faktorja viša neprofitna najemnina, najemniki neprofitnih stanovanj, ki imajo pa že sedaj najvišjo možno subvencijo neprofitne najemnine, pa s tem višanjem ne smejo biti na slabšem.</w:t>
      </w:r>
    </w:p>
    <w:p w14:paraId="72805934" w14:textId="77777777" w:rsidR="005723BB" w:rsidRDefault="005723BB" w:rsidP="00A2661B">
      <w:pPr>
        <w:pStyle w:val="Telobesedila2"/>
        <w:spacing w:line="276" w:lineRule="auto"/>
        <w:rPr>
          <w:rFonts w:ascii="Arial" w:hAnsi="Arial" w:cs="Arial"/>
          <w:b w:val="0"/>
          <w:bCs w:val="0"/>
          <w:sz w:val="20"/>
          <w:szCs w:val="20"/>
        </w:rPr>
      </w:pPr>
    </w:p>
    <w:p w14:paraId="40EB1F0B" w14:textId="77777777" w:rsidR="005723BB" w:rsidRDefault="005723BB" w:rsidP="00A2661B">
      <w:pPr>
        <w:pStyle w:val="Telobesedila2"/>
        <w:spacing w:line="276" w:lineRule="auto"/>
        <w:rPr>
          <w:rFonts w:ascii="Arial" w:hAnsi="Arial" w:cs="Arial"/>
          <w:b w:val="0"/>
          <w:bCs w:val="0"/>
          <w:sz w:val="20"/>
          <w:szCs w:val="20"/>
        </w:rPr>
      </w:pPr>
      <w:r>
        <w:rPr>
          <w:rFonts w:ascii="Arial" w:hAnsi="Arial" w:cs="Arial"/>
          <w:b w:val="0"/>
          <w:bCs w:val="0"/>
          <w:sz w:val="20"/>
          <w:szCs w:val="20"/>
        </w:rPr>
        <w:t>Subvencija k plačilu tržne najemnine je določena v dveh delih – neprofitni in tržni del subvencije. Subvencija za neprofitni del se izračuna na način, kot se izračuna subvencija neprofitne najemnine, pri čemer se neprofitna najemnine določi drugače, in sicer ne po enačbi iz te uredbe, saj tržna stanovanja nimajo točkovalnih zapisnikov, temveč</w:t>
      </w:r>
      <w:r w:rsidR="001909BF">
        <w:rPr>
          <w:rFonts w:ascii="Arial" w:hAnsi="Arial" w:cs="Arial"/>
          <w:b w:val="0"/>
          <w:bCs w:val="0"/>
          <w:sz w:val="20"/>
          <w:szCs w:val="20"/>
        </w:rPr>
        <w:t xml:space="preserve"> je neprofitna najemnina zmnožek površine, a ne večje kot je primerna površina, ter priznane neprofitne najemnine oziroma dejanske tržne najemnine, če bi le-ta bila nižja od priznane neprofitne najemnine.  Dejanska tržna najemnina se določi za kvadratni meter površine na podlagi višine tržne najemnine in površine stanovanja, določene v najemni pogodbi.</w:t>
      </w:r>
    </w:p>
    <w:p w14:paraId="1712CC47" w14:textId="77777777" w:rsidR="001909BF" w:rsidRDefault="001909BF" w:rsidP="00A2661B">
      <w:pPr>
        <w:pStyle w:val="Telobesedila2"/>
        <w:spacing w:line="276" w:lineRule="auto"/>
        <w:rPr>
          <w:rFonts w:ascii="Arial" w:hAnsi="Arial" w:cs="Arial"/>
          <w:b w:val="0"/>
          <w:bCs w:val="0"/>
          <w:sz w:val="20"/>
          <w:szCs w:val="20"/>
        </w:rPr>
      </w:pPr>
    </w:p>
    <w:p w14:paraId="47338D1E" w14:textId="77777777" w:rsidR="001909BF" w:rsidRDefault="001909BF" w:rsidP="00A2661B">
      <w:pPr>
        <w:pStyle w:val="Telobesedila2"/>
        <w:spacing w:line="276" w:lineRule="auto"/>
        <w:rPr>
          <w:rFonts w:ascii="Arial" w:hAnsi="Arial" w:cs="Arial"/>
          <w:b w:val="0"/>
          <w:bCs w:val="0"/>
          <w:sz w:val="20"/>
          <w:szCs w:val="20"/>
        </w:rPr>
      </w:pPr>
      <w:r>
        <w:rPr>
          <w:rFonts w:ascii="Arial" w:hAnsi="Arial" w:cs="Arial"/>
          <w:b w:val="0"/>
          <w:bCs w:val="0"/>
          <w:sz w:val="20"/>
          <w:szCs w:val="20"/>
        </w:rPr>
        <w:t>Tržni del subvencije k plačilu tržne najemnine pa se določi glede na površino stanovanja, ki ne sme biti večja kot primerna površina, ter razlike med priznano tržno najemnino oziroma dejansko tržno najemnino, če je ta nižja od priznane tržne najemnine, ter priznano neprofitno najemnino. V nekaterih primerih se lahko zgodi da bo priznana neprofitna najemnina višja od dejanske tržne najemnine in bi prišla ta razlika negativna. V tem primeru se tržni del subvencije ne more upoštevati, saj najemnik ne plačuje tržnega dela subvencije.</w:t>
      </w:r>
    </w:p>
    <w:p w14:paraId="1FB9A320" w14:textId="77777777" w:rsidR="00DC21E4" w:rsidRDefault="00DC21E4" w:rsidP="00A2661B">
      <w:pPr>
        <w:pStyle w:val="Telobesedila2"/>
        <w:spacing w:line="276" w:lineRule="auto"/>
        <w:rPr>
          <w:rFonts w:ascii="Arial" w:hAnsi="Arial" w:cs="Arial"/>
          <w:b w:val="0"/>
          <w:bCs w:val="0"/>
          <w:sz w:val="20"/>
          <w:szCs w:val="20"/>
        </w:rPr>
      </w:pPr>
    </w:p>
    <w:p w14:paraId="2FB3B354" w14:textId="77777777" w:rsidR="00B44993" w:rsidRDefault="001909BF" w:rsidP="00A2661B">
      <w:pPr>
        <w:pStyle w:val="Telobesedila2"/>
        <w:spacing w:line="276" w:lineRule="auto"/>
        <w:rPr>
          <w:rFonts w:ascii="Arial" w:hAnsi="Arial" w:cs="Arial"/>
          <w:b w:val="0"/>
          <w:bCs w:val="0"/>
          <w:sz w:val="20"/>
          <w:szCs w:val="20"/>
        </w:rPr>
      </w:pPr>
      <w:r>
        <w:rPr>
          <w:rFonts w:ascii="Arial" w:hAnsi="Arial" w:cs="Arial"/>
          <w:b w:val="0"/>
          <w:bCs w:val="0"/>
          <w:sz w:val="20"/>
          <w:szCs w:val="20"/>
        </w:rPr>
        <w:t xml:space="preserve">S to uredbo se bodo določile oz. povzele tudi vrednosti za priznano tržno najemnino po regijah, ki je bila prej določena v edinem členu, ki je še veljal v </w:t>
      </w:r>
      <w:r w:rsidRPr="001909BF">
        <w:rPr>
          <w:rFonts w:ascii="Arial" w:hAnsi="Arial" w:cs="Arial"/>
          <w:b w:val="0"/>
          <w:bCs w:val="0"/>
          <w:sz w:val="20"/>
          <w:szCs w:val="20"/>
        </w:rPr>
        <w:t>Pravilnik</w:t>
      </w:r>
      <w:r>
        <w:rPr>
          <w:rFonts w:ascii="Arial" w:hAnsi="Arial" w:cs="Arial"/>
          <w:b w:val="0"/>
          <w:bCs w:val="0"/>
          <w:sz w:val="20"/>
          <w:szCs w:val="20"/>
        </w:rPr>
        <w:t>u</w:t>
      </w:r>
      <w:r w:rsidRPr="001909BF">
        <w:rPr>
          <w:rFonts w:ascii="Arial" w:hAnsi="Arial" w:cs="Arial"/>
          <w:b w:val="0"/>
          <w:bCs w:val="0"/>
          <w:sz w:val="20"/>
          <w:szCs w:val="20"/>
        </w:rPr>
        <w:t xml:space="preserve"> o podrobnejših pogojih, merilih in postopku za dodelitev subvencij mladim družinam za najem tržnih stanovanj</w:t>
      </w:r>
      <w:r>
        <w:rPr>
          <w:rFonts w:ascii="Arial" w:hAnsi="Arial" w:cs="Arial"/>
          <w:b w:val="0"/>
          <w:bCs w:val="0"/>
          <w:sz w:val="20"/>
          <w:szCs w:val="20"/>
        </w:rPr>
        <w:t xml:space="preserve">. Zaradi poenotenja zakonodaje o določitvi višine subvencij se tako tabela z vrednostmi priznanih tržnih najemnin določenih na m2 po regijah določijo v tej uredbi. </w:t>
      </w:r>
    </w:p>
    <w:p w14:paraId="1BF379E8" w14:textId="77777777" w:rsidR="005C210C" w:rsidRDefault="005C210C" w:rsidP="00A2661B">
      <w:pPr>
        <w:pStyle w:val="Telobesedila2"/>
        <w:spacing w:line="276" w:lineRule="auto"/>
        <w:rPr>
          <w:rFonts w:ascii="Arial" w:hAnsi="Arial" w:cs="Arial"/>
          <w:b w:val="0"/>
          <w:bCs w:val="0"/>
          <w:sz w:val="20"/>
          <w:szCs w:val="20"/>
        </w:rPr>
      </w:pPr>
    </w:p>
    <w:p w14:paraId="66986B55" w14:textId="77777777" w:rsidR="005C210C" w:rsidRDefault="005C210C" w:rsidP="00A2661B">
      <w:pPr>
        <w:pStyle w:val="Telobesedila2"/>
        <w:spacing w:line="276" w:lineRule="auto"/>
        <w:rPr>
          <w:rFonts w:ascii="Arial" w:hAnsi="Arial"/>
          <w:b w:val="0"/>
          <w:sz w:val="20"/>
        </w:rPr>
      </w:pPr>
      <w:r>
        <w:rPr>
          <w:rFonts w:ascii="Arial" w:hAnsi="Arial"/>
          <w:b w:val="0"/>
          <w:sz w:val="20"/>
        </w:rPr>
        <w:t>3</w:t>
      </w:r>
      <w:r w:rsidRPr="005C210C">
        <w:rPr>
          <w:rFonts w:ascii="Arial" w:hAnsi="Arial"/>
          <w:b w:val="0"/>
          <w:sz w:val="20"/>
        </w:rPr>
        <w:t>. PREHODNE IN KONČNE DOLOČBE</w:t>
      </w:r>
    </w:p>
    <w:p w14:paraId="005A829C" w14:textId="77777777" w:rsidR="001909BF" w:rsidRDefault="001909BF" w:rsidP="00A2661B">
      <w:pPr>
        <w:pStyle w:val="Telobesedila2"/>
        <w:spacing w:line="276" w:lineRule="auto"/>
        <w:rPr>
          <w:rFonts w:ascii="Arial" w:hAnsi="Arial"/>
          <w:b w:val="0"/>
          <w:sz w:val="20"/>
        </w:rPr>
      </w:pPr>
    </w:p>
    <w:p w14:paraId="2B514F46" w14:textId="77777777" w:rsidR="009245B7" w:rsidRDefault="001909BF" w:rsidP="00A2661B">
      <w:pPr>
        <w:pStyle w:val="Telobesedila2"/>
        <w:spacing w:line="276" w:lineRule="auto"/>
        <w:rPr>
          <w:rFonts w:ascii="Arial" w:hAnsi="Arial"/>
          <w:b w:val="0"/>
          <w:sz w:val="20"/>
        </w:rPr>
      </w:pPr>
      <w:r>
        <w:rPr>
          <w:rFonts w:ascii="Arial" w:hAnsi="Arial"/>
          <w:b w:val="0"/>
          <w:sz w:val="20"/>
        </w:rPr>
        <w:t>V prehodni dol</w:t>
      </w:r>
      <w:r w:rsidR="009245B7">
        <w:rPr>
          <w:rFonts w:ascii="Arial" w:hAnsi="Arial"/>
          <w:b w:val="0"/>
          <w:sz w:val="20"/>
        </w:rPr>
        <w:t xml:space="preserve">očbi je potrebno določiti, kako </w:t>
      </w:r>
      <w:r w:rsidR="002243CB">
        <w:rPr>
          <w:rFonts w:ascii="Arial" w:hAnsi="Arial"/>
          <w:b w:val="0"/>
          <w:sz w:val="20"/>
        </w:rPr>
        <w:t>bo najemodajalec uvedel novo najemnino z lokacijskim faktorjem. Namreč ni predvideno sklepanje novih najemnih pogodb za vse najemnike z neprofitno najemnino, temveč ker je to sprememba na podlagi zakona, je dovolj, da najemodajalec o tej spremembi najemnine najemnike pravočasno obvesti in izrecno pojasni spremembe glede višine najemnine. Redno se bo z lokacijskim faktorjem najemnik seznanil v najemni pogodbi. Najemniki morajo prejeti obvestilo o novem izračunu najemnine zaradi uvedbe lokacijskega faktorja. Pri tem pa imajo možnost preveritve pravilnega izračuna neprofitna najemnine in pravnega varstva kot določa Stanovanjski zakon.</w:t>
      </w:r>
    </w:p>
    <w:p w14:paraId="695AF789" w14:textId="77777777" w:rsidR="009245B7" w:rsidRDefault="009245B7" w:rsidP="00A2661B">
      <w:pPr>
        <w:pStyle w:val="Telobesedila2"/>
        <w:spacing w:line="276" w:lineRule="auto"/>
        <w:rPr>
          <w:rFonts w:ascii="Arial" w:hAnsi="Arial"/>
          <w:b w:val="0"/>
          <w:sz w:val="20"/>
        </w:rPr>
      </w:pPr>
    </w:p>
    <w:p w14:paraId="61D73974" w14:textId="77777777" w:rsidR="001909BF" w:rsidRDefault="002243CB" w:rsidP="00A2661B">
      <w:pPr>
        <w:pStyle w:val="Telobesedila2"/>
        <w:spacing w:line="276" w:lineRule="auto"/>
        <w:rPr>
          <w:rFonts w:ascii="Arial" w:hAnsi="Arial"/>
          <w:b w:val="0"/>
          <w:sz w:val="20"/>
        </w:rPr>
      </w:pPr>
      <w:r>
        <w:rPr>
          <w:rFonts w:ascii="Arial" w:hAnsi="Arial"/>
          <w:b w:val="0"/>
          <w:sz w:val="20"/>
        </w:rPr>
        <w:t xml:space="preserve">V prehodnih določbah je potrebno tudi urediti </w:t>
      </w:r>
      <w:r w:rsidR="001909BF">
        <w:rPr>
          <w:rFonts w:ascii="Arial" w:hAnsi="Arial"/>
          <w:b w:val="0"/>
          <w:sz w:val="20"/>
        </w:rPr>
        <w:t>način</w:t>
      </w:r>
      <w:r w:rsidR="004B5335">
        <w:rPr>
          <w:rFonts w:ascii="Arial" w:hAnsi="Arial"/>
          <w:b w:val="0"/>
          <w:sz w:val="20"/>
        </w:rPr>
        <w:t xml:space="preserve"> pridobivanja podatka o lokacijskem faktorju </w:t>
      </w:r>
      <w:r>
        <w:rPr>
          <w:rFonts w:ascii="Arial" w:hAnsi="Arial"/>
          <w:b w:val="0"/>
          <w:sz w:val="20"/>
        </w:rPr>
        <w:t xml:space="preserve">s strani centrov za socialno delo </w:t>
      </w:r>
      <w:r w:rsidR="004B5335">
        <w:rPr>
          <w:rFonts w:ascii="Arial" w:hAnsi="Arial"/>
          <w:b w:val="0"/>
          <w:sz w:val="20"/>
        </w:rPr>
        <w:t>za najemnike neprofitnih stanovanj, ki so že sedaj upravičeni do subvencije neprofitne najemnine. Ker z zakonom ni določeno podajanje vlog in s tem poročanje podatkov, bodo morali najemodajalci sporočiti centrom za socialno delo podatek o lokacijskem faktorju, ki so ga uporabili za nov izračun neprofitna najemnine. Na podlagi tega podatka bo lahko center za socialno delo naredil uskladitev subvencije neprofitna najemnine brez izdaje</w:t>
      </w:r>
      <w:r>
        <w:rPr>
          <w:rFonts w:ascii="Arial" w:hAnsi="Arial"/>
          <w:b w:val="0"/>
          <w:sz w:val="20"/>
        </w:rPr>
        <w:t xml:space="preserve"> odločbe o tem. Novi vlagatelji vlog za subvencijo najemnine bodo morali poleg prilog določenih v 35. členu ZUPJS priložiti tudi obvestilo o spremenjenem izračunu neprofitne najemnine z navedbo višine lokacijskega faktorja.</w:t>
      </w:r>
      <w:r w:rsidR="00BB28C8">
        <w:rPr>
          <w:rFonts w:ascii="Arial" w:hAnsi="Arial"/>
          <w:b w:val="0"/>
          <w:sz w:val="20"/>
        </w:rPr>
        <w:t xml:space="preserve"> Najemnike bi bilo smiselno opozoriti na hrambo teh obvestil, saj bi jih lahko potrebovali pri uveljavljanju subvencije najemnine.</w:t>
      </w:r>
    </w:p>
    <w:p w14:paraId="18C40C8E" w14:textId="77777777" w:rsidR="00BB28C8" w:rsidRDefault="00BB28C8" w:rsidP="00A2661B">
      <w:pPr>
        <w:pStyle w:val="Telobesedila2"/>
        <w:spacing w:line="276" w:lineRule="auto"/>
        <w:rPr>
          <w:rFonts w:ascii="Arial" w:hAnsi="Arial"/>
          <w:b w:val="0"/>
          <w:sz w:val="20"/>
        </w:rPr>
      </w:pPr>
    </w:p>
    <w:p w14:paraId="34226F44" w14:textId="77777777" w:rsidR="00BB28C8" w:rsidRPr="002D49BD" w:rsidRDefault="00BB28C8" w:rsidP="00A2661B">
      <w:pPr>
        <w:pStyle w:val="Telobesedila2"/>
        <w:spacing w:line="276" w:lineRule="auto"/>
        <w:rPr>
          <w:rFonts w:ascii="Arial" w:hAnsi="Arial"/>
          <w:b w:val="0"/>
          <w:sz w:val="20"/>
        </w:rPr>
      </w:pPr>
      <w:r>
        <w:rPr>
          <w:rFonts w:ascii="Arial" w:hAnsi="Arial"/>
          <w:b w:val="0"/>
          <w:sz w:val="20"/>
        </w:rPr>
        <w:lastRenderedPageBreak/>
        <w:t xml:space="preserve">V preostalih členih se določi prenehanje veljavnosti nekaterih odstavkov 14. člena </w:t>
      </w:r>
      <w:r w:rsidRPr="00BB28C8">
        <w:rPr>
          <w:rFonts w:ascii="Arial" w:hAnsi="Arial"/>
          <w:b w:val="0"/>
          <w:sz w:val="20"/>
        </w:rPr>
        <w:t>Pravilnika o dodeljevanju neprofitnih stanovanj v najem</w:t>
      </w:r>
      <w:r>
        <w:rPr>
          <w:rFonts w:ascii="Arial" w:hAnsi="Arial"/>
          <w:b w:val="0"/>
          <w:sz w:val="20"/>
        </w:rPr>
        <w:t xml:space="preserve">, ki so določali površine stanovanj, ki se upoštevajo pri subvencioniranju najemnine in se sedaj to ureja v tej uredbi, ter prenehanje veljavnosti </w:t>
      </w:r>
      <w:r w:rsidRPr="00BB28C8">
        <w:rPr>
          <w:rFonts w:ascii="Arial" w:hAnsi="Arial"/>
          <w:b w:val="0"/>
          <w:sz w:val="20"/>
        </w:rPr>
        <w:t>Pravilnik</w:t>
      </w:r>
      <w:r>
        <w:rPr>
          <w:rFonts w:ascii="Arial" w:hAnsi="Arial"/>
          <w:b w:val="0"/>
          <w:sz w:val="20"/>
        </w:rPr>
        <w:t>a</w:t>
      </w:r>
      <w:r w:rsidRPr="00BB28C8">
        <w:rPr>
          <w:rFonts w:ascii="Arial" w:hAnsi="Arial"/>
          <w:b w:val="0"/>
          <w:sz w:val="20"/>
        </w:rPr>
        <w:t xml:space="preserve"> o podrobnejših pogojih, merilih in postopku za dodelitev subvencij mladim družinam za najem tržnih stanovanj</w:t>
      </w:r>
      <w:r>
        <w:rPr>
          <w:rFonts w:ascii="Arial" w:hAnsi="Arial"/>
          <w:b w:val="0"/>
          <w:sz w:val="20"/>
        </w:rPr>
        <w:t xml:space="preserve">, v katerem je veljal le še člen, ki je določal priznane tržne najemnine, in se ga sedaj prenaša v to uredbo, ter prenehanje veljavnosti prejšnje uredbe. V zadnjem členu pa je določen začetek veljavnosti te uredbe, pri čemer se uporaba določb glede lokacijskega faktorja zamakne na točno določen datum, </w:t>
      </w:r>
      <w:r w:rsidR="0065088A">
        <w:rPr>
          <w:rFonts w:ascii="Arial" w:hAnsi="Arial"/>
          <w:b w:val="0"/>
          <w:sz w:val="20"/>
        </w:rPr>
        <w:t xml:space="preserve">ki </w:t>
      </w:r>
      <w:r>
        <w:rPr>
          <w:rFonts w:ascii="Arial" w:hAnsi="Arial"/>
          <w:b w:val="0"/>
          <w:sz w:val="20"/>
        </w:rPr>
        <w:t xml:space="preserve">je </w:t>
      </w:r>
      <w:r w:rsidR="0065088A">
        <w:rPr>
          <w:rFonts w:ascii="Arial" w:hAnsi="Arial"/>
          <w:b w:val="0"/>
          <w:sz w:val="20"/>
        </w:rPr>
        <w:t>za začetek uporabe lokacijskega faktorja  določen v Stanovanjskem zakonu.</w:t>
      </w:r>
    </w:p>
    <w:sectPr w:rsidR="00BB28C8" w:rsidRPr="002D49BD" w:rsidSect="00783310">
      <w:headerReference w:type="default" r:id="rId20"/>
      <w:headerReference w:type="first" r:id="rId2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9708" w14:textId="77777777" w:rsidR="00E36430" w:rsidRDefault="00E36430">
      <w:r>
        <w:separator/>
      </w:r>
    </w:p>
  </w:endnote>
  <w:endnote w:type="continuationSeparator" w:id="0">
    <w:p w14:paraId="0DA43F18" w14:textId="77777777" w:rsidR="00E36430" w:rsidRDefault="00E3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charset w:val="EE"/>
    <w:family w:val="auto"/>
    <w:pitch w:val="variable"/>
    <w:sig w:usb0="A00000FF" w:usb1="4000205B" w:usb2="00000000" w:usb3="00000000" w:csb0="00000093" w:csb1="00000000"/>
    <w:embedRegular r:id="rId1" w:subsetted="1" w:fontKey="{DB528417-C5BF-4845-BACD-7C29CEE58C82}"/>
    <w:embedBold r:id="rId2" w:subsetted="1" w:fontKey="{D39A8509-D0FB-40B7-A868-6720D3C7E5F3}"/>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2629" w14:textId="77777777" w:rsidR="00E36430" w:rsidRDefault="00E36430">
      <w:r>
        <w:separator/>
      </w:r>
    </w:p>
  </w:footnote>
  <w:footnote w:type="continuationSeparator" w:id="0">
    <w:p w14:paraId="7EC59C8D" w14:textId="77777777" w:rsidR="00E36430" w:rsidRDefault="00E3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34EA" w14:textId="77777777" w:rsidR="00C20A9C" w:rsidRPr="00110CBD" w:rsidRDefault="00C20A9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20A9C" w:rsidRPr="008F3500" w14:paraId="3C988B4A" w14:textId="77777777" w:rsidTr="00B77473">
      <w:trPr>
        <w:cantSplit/>
        <w:trHeight w:hRule="exact" w:val="847"/>
      </w:trPr>
      <w:tc>
        <w:tcPr>
          <w:tcW w:w="649" w:type="dxa"/>
        </w:tcPr>
        <w:p w14:paraId="07714259" w14:textId="77777777" w:rsidR="00C20A9C" w:rsidRDefault="00C20A9C"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1F0B029C" w14:textId="77777777" w:rsidR="00C20A9C" w:rsidRPr="006D42D9" w:rsidRDefault="00C20A9C" w:rsidP="006D42D9">
          <w:pPr>
            <w:rPr>
              <w:rFonts w:ascii="Republika" w:hAnsi="Republika"/>
              <w:sz w:val="60"/>
              <w:szCs w:val="60"/>
            </w:rPr>
          </w:pPr>
        </w:p>
        <w:p w14:paraId="046FEFF2" w14:textId="77777777" w:rsidR="00C20A9C" w:rsidRPr="006D42D9" w:rsidRDefault="00C20A9C" w:rsidP="006D42D9">
          <w:pPr>
            <w:rPr>
              <w:rFonts w:ascii="Republika" w:hAnsi="Republika"/>
              <w:sz w:val="60"/>
              <w:szCs w:val="60"/>
            </w:rPr>
          </w:pPr>
        </w:p>
        <w:p w14:paraId="5554BF26" w14:textId="77777777" w:rsidR="00C20A9C" w:rsidRPr="006D42D9" w:rsidRDefault="00C20A9C" w:rsidP="006D42D9">
          <w:pPr>
            <w:rPr>
              <w:rFonts w:ascii="Republika" w:hAnsi="Republika"/>
              <w:sz w:val="60"/>
              <w:szCs w:val="60"/>
            </w:rPr>
          </w:pPr>
        </w:p>
        <w:p w14:paraId="2F360366" w14:textId="77777777" w:rsidR="00C20A9C" w:rsidRPr="006D42D9" w:rsidRDefault="00C20A9C" w:rsidP="006D42D9">
          <w:pPr>
            <w:rPr>
              <w:rFonts w:ascii="Republika" w:hAnsi="Republika"/>
              <w:sz w:val="60"/>
              <w:szCs w:val="60"/>
            </w:rPr>
          </w:pPr>
        </w:p>
        <w:p w14:paraId="462D3DCA" w14:textId="77777777" w:rsidR="00C20A9C" w:rsidRPr="006D42D9" w:rsidRDefault="00C20A9C" w:rsidP="006D42D9">
          <w:pPr>
            <w:rPr>
              <w:rFonts w:ascii="Republika" w:hAnsi="Republika"/>
              <w:sz w:val="60"/>
              <w:szCs w:val="60"/>
            </w:rPr>
          </w:pPr>
        </w:p>
        <w:p w14:paraId="50A85123" w14:textId="77777777" w:rsidR="00C20A9C" w:rsidRPr="006D42D9" w:rsidRDefault="00C20A9C" w:rsidP="006D42D9">
          <w:pPr>
            <w:rPr>
              <w:rFonts w:ascii="Republika" w:hAnsi="Republika"/>
              <w:sz w:val="60"/>
              <w:szCs w:val="60"/>
            </w:rPr>
          </w:pPr>
        </w:p>
        <w:p w14:paraId="643D94FD" w14:textId="77777777" w:rsidR="00C20A9C" w:rsidRPr="006D42D9" w:rsidRDefault="00C20A9C" w:rsidP="006D42D9">
          <w:pPr>
            <w:rPr>
              <w:rFonts w:ascii="Republika" w:hAnsi="Republika"/>
              <w:sz w:val="60"/>
              <w:szCs w:val="60"/>
            </w:rPr>
          </w:pPr>
        </w:p>
        <w:p w14:paraId="29898F9E" w14:textId="77777777" w:rsidR="00C20A9C" w:rsidRPr="006D42D9" w:rsidRDefault="00C20A9C" w:rsidP="006D42D9">
          <w:pPr>
            <w:rPr>
              <w:rFonts w:ascii="Republika" w:hAnsi="Republika"/>
              <w:sz w:val="60"/>
              <w:szCs w:val="60"/>
            </w:rPr>
          </w:pPr>
        </w:p>
        <w:p w14:paraId="1D5774D8" w14:textId="77777777" w:rsidR="00C20A9C" w:rsidRPr="006D42D9" w:rsidRDefault="00C20A9C" w:rsidP="006D42D9">
          <w:pPr>
            <w:rPr>
              <w:rFonts w:ascii="Republika" w:hAnsi="Republika"/>
              <w:sz w:val="60"/>
              <w:szCs w:val="60"/>
            </w:rPr>
          </w:pPr>
        </w:p>
        <w:p w14:paraId="3F2A5125" w14:textId="77777777" w:rsidR="00C20A9C" w:rsidRPr="006D42D9" w:rsidRDefault="00C20A9C" w:rsidP="006D42D9">
          <w:pPr>
            <w:rPr>
              <w:rFonts w:ascii="Republika" w:hAnsi="Republika"/>
              <w:sz w:val="60"/>
              <w:szCs w:val="60"/>
            </w:rPr>
          </w:pPr>
        </w:p>
        <w:p w14:paraId="5577C7A4" w14:textId="77777777" w:rsidR="00C20A9C" w:rsidRPr="006D42D9" w:rsidRDefault="00C20A9C" w:rsidP="006D42D9">
          <w:pPr>
            <w:rPr>
              <w:rFonts w:ascii="Republika" w:hAnsi="Republika"/>
              <w:sz w:val="60"/>
              <w:szCs w:val="60"/>
            </w:rPr>
          </w:pPr>
        </w:p>
        <w:p w14:paraId="6F32B831" w14:textId="77777777" w:rsidR="00C20A9C" w:rsidRPr="006D42D9" w:rsidRDefault="00C20A9C" w:rsidP="006D42D9">
          <w:pPr>
            <w:rPr>
              <w:rFonts w:ascii="Republika" w:hAnsi="Republika"/>
              <w:sz w:val="60"/>
              <w:szCs w:val="60"/>
            </w:rPr>
          </w:pPr>
        </w:p>
        <w:p w14:paraId="07D112EF" w14:textId="77777777" w:rsidR="00C20A9C" w:rsidRPr="006D42D9" w:rsidRDefault="00C20A9C" w:rsidP="006D42D9">
          <w:pPr>
            <w:rPr>
              <w:rFonts w:ascii="Republika" w:hAnsi="Republika"/>
              <w:sz w:val="60"/>
              <w:szCs w:val="60"/>
            </w:rPr>
          </w:pPr>
        </w:p>
        <w:p w14:paraId="7AD01A49" w14:textId="77777777" w:rsidR="00C20A9C" w:rsidRPr="006D42D9" w:rsidRDefault="00C20A9C" w:rsidP="006D42D9">
          <w:pPr>
            <w:rPr>
              <w:rFonts w:ascii="Republika" w:hAnsi="Republika"/>
              <w:sz w:val="60"/>
              <w:szCs w:val="60"/>
            </w:rPr>
          </w:pPr>
        </w:p>
        <w:p w14:paraId="1C8D5CF4" w14:textId="77777777" w:rsidR="00C20A9C" w:rsidRPr="006D42D9" w:rsidRDefault="00C20A9C" w:rsidP="006D42D9">
          <w:pPr>
            <w:rPr>
              <w:rFonts w:ascii="Republika" w:hAnsi="Republika"/>
              <w:sz w:val="60"/>
              <w:szCs w:val="60"/>
            </w:rPr>
          </w:pPr>
        </w:p>
        <w:p w14:paraId="7633CEFC" w14:textId="77777777" w:rsidR="00C20A9C" w:rsidRPr="006D42D9" w:rsidRDefault="00C20A9C" w:rsidP="006D42D9">
          <w:pPr>
            <w:rPr>
              <w:rFonts w:ascii="Republika" w:hAnsi="Republika"/>
              <w:sz w:val="60"/>
              <w:szCs w:val="60"/>
            </w:rPr>
          </w:pPr>
        </w:p>
      </w:tc>
    </w:tr>
  </w:tbl>
  <w:p w14:paraId="43246588" w14:textId="77777777" w:rsidR="00C20A9C" w:rsidRPr="00B95595" w:rsidRDefault="00C20A9C" w:rsidP="00B77473">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552D195A" wp14:editId="3E326FE1">
              <wp:simplePos x="0" y="0"/>
              <wp:positionH relativeFrom="column">
                <wp:posOffset>-431800</wp:posOffset>
              </wp:positionH>
              <wp:positionV relativeFrom="page">
                <wp:posOffset>3600450</wp:posOffset>
              </wp:positionV>
              <wp:extent cx="252095" cy="0"/>
              <wp:effectExtent l="6350" t="9525" r="825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BA1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P/1+fH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Pr="00B95595">
      <w:rPr>
        <w:rFonts w:ascii="Republika" w:hAnsi="Republika"/>
      </w:rPr>
      <w:t>REPUBLIKA SLOVENIJA</w:t>
    </w:r>
  </w:p>
  <w:p w14:paraId="6657EF77" w14:textId="77777777" w:rsidR="00C20A9C" w:rsidRPr="00B95595" w:rsidRDefault="00C20A9C" w:rsidP="00B77473">
    <w:pPr>
      <w:pStyle w:val="Glava"/>
      <w:tabs>
        <w:tab w:val="clear" w:pos="4320"/>
        <w:tab w:val="clear" w:pos="8640"/>
        <w:tab w:val="left" w:pos="5112"/>
      </w:tabs>
      <w:spacing w:after="120" w:line="240" w:lineRule="exact"/>
      <w:rPr>
        <w:rFonts w:ascii="Republika" w:hAnsi="Republika"/>
        <w:b/>
        <w:caps/>
      </w:rPr>
    </w:pPr>
    <w:r w:rsidRPr="00B95595">
      <w:rPr>
        <w:rFonts w:ascii="Republika" w:hAnsi="Republika"/>
        <w:b/>
        <w:caps/>
      </w:rPr>
      <w:t xml:space="preserve">Ministrstvo za </w:t>
    </w:r>
    <w:r>
      <w:rPr>
        <w:rFonts w:ascii="Republika" w:hAnsi="Republika"/>
        <w:b/>
        <w:caps/>
      </w:rPr>
      <w:t>OKOLJE IN PROSTOR</w:t>
    </w:r>
  </w:p>
  <w:p w14:paraId="568A98FF" w14:textId="77777777" w:rsidR="00C20A9C" w:rsidRDefault="00C20A9C" w:rsidP="00B77473">
    <w:pPr>
      <w:pStyle w:val="Glava"/>
      <w:tabs>
        <w:tab w:val="clear" w:pos="4320"/>
        <w:tab w:val="left" w:pos="5112"/>
      </w:tabs>
      <w:spacing w:before="240" w:line="240" w:lineRule="exact"/>
      <w:rPr>
        <w:rFonts w:cs="Arial"/>
        <w:sz w:val="16"/>
      </w:rPr>
    </w:pPr>
    <w:r>
      <w:rPr>
        <w:rFonts w:cs="Arial"/>
        <w:sz w:val="16"/>
      </w:rPr>
      <w:t>Dunajska cesta 48, 1000 Ljubljana</w:t>
    </w:r>
    <w:r>
      <w:rPr>
        <w:rFonts w:cs="Arial"/>
        <w:sz w:val="16"/>
      </w:rPr>
      <w:tab/>
      <w:t>T: 01 478 70 00</w:t>
    </w:r>
  </w:p>
  <w:p w14:paraId="1E1C56A4" w14:textId="77777777" w:rsidR="00C20A9C" w:rsidRDefault="00C20A9C" w:rsidP="00B77473">
    <w:pPr>
      <w:pStyle w:val="Glava"/>
      <w:tabs>
        <w:tab w:val="clear" w:pos="4320"/>
        <w:tab w:val="left" w:pos="5112"/>
      </w:tabs>
      <w:spacing w:line="240" w:lineRule="exact"/>
      <w:rPr>
        <w:rFonts w:cs="Arial"/>
        <w:sz w:val="16"/>
      </w:rPr>
    </w:pPr>
    <w:r>
      <w:rPr>
        <w:rFonts w:cs="Arial"/>
        <w:sz w:val="16"/>
      </w:rPr>
      <w:tab/>
      <w:t xml:space="preserve">F: 01 478 74 25 </w:t>
    </w:r>
  </w:p>
  <w:p w14:paraId="4034898D" w14:textId="77777777" w:rsidR="00C20A9C" w:rsidRDefault="00C20A9C" w:rsidP="00B77473">
    <w:pPr>
      <w:pStyle w:val="Glava"/>
      <w:tabs>
        <w:tab w:val="clear" w:pos="4320"/>
        <w:tab w:val="left" w:pos="5112"/>
      </w:tabs>
      <w:spacing w:line="240" w:lineRule="exact"/>
      <w:rPr>
        <w:rFonts w:cs="Arial"/>
        <w:sz w:val="16"/>
      </w:rPr>
    </w:pPr>
    <w:r>
      <w:rPr>
        <w:rFonts w:cs="Arial"/>
        <w:sz w:val="16"/>
      </w:rPr>
      <w:tab/>
      <w:t>E: gp.mop@gov.si</w:t>
    </w:r>
  </w:p>
  <w:p w14:paraId="3A8DB400" w14:textId="77777777" w:rsidR="00C20A9C" w:rsidRDefault="00C20A9C" w:rsidP="00B77473">
    <w:pPr>
      <w:pStyle w:val="Glava"/>
      <w:tabs>
        <w:tab w:val="clear" w:pos="4320"/>
        <w:tab w:val="left" w:pos="5112"/>
      </w:tabs>
      <w:spacing w:line="240" w:lineRule="exact"/>
      <w:rPr>
        <w:rFonts w:cs="Arial"/>
        <w:sz w:val="16"/>
      </w:rPr>
    </w:pPr>
    <w:r>
      <w:rPr>
        <w:rFonts w:cs="Arial"/>
        <w:sz w:val="16"/>
      </w:rPr>
      <w:tab/>
    </w:r>
    <w:proofErr w:type="spellStart"/>
    <w:r>
      <w:rPr>
        <w:rFonts w:cs="Arial"/>
        <w:sz w:val="16"/>
      </w:rPr>
      <w:t>www.mop.gov.si</w:t>
    </w:r>
    <w:proofErr w:type="spellEnd"/>
  </w:p>
  <w:p w14:paraId="693F2C4E" w14:textId="77777777" w:rsidR="00C20A9C" w:rsidRPr="008F3500" w:rsidRDefault="00C20A9C" w:rsidP="00B77473">
    <w:pPr>
      <w:autoSpaceDE w:val="0"/>
      <w:autoSpaceDN w:val="0"/>
      <w:adjustRightInd w:val="0"/>
      <w:spacing w:line="240" w:lineRule="auto"/>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AF7509"/>
    <w:multiLevelType w:val="multilevel"/>
    <w:tmpl w:val="4F12ED9A"/>
    <w:lvl w:ilvl="0">
      <w:start w:val="4"/>
      <w:numFmt w:val="decimal"/>
      <w:lvlText w:val="%1"/>
      <w:lvlJc w:val="left"/>
      <w:pPr>
        <w:ind w:left="72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440" w:hanging="1080"/>
      </w:pPr>
      <w:rPr>
        <w:rFonts w:hint="default"/>
      </w:rPr>
    </w:lvl>
    <w:lvl w:ilvl="6">
      <w:start w:val="1"/>
      <w:numFmt w:val="decimal"/>
      <w:lvlText w:val="%1.%2.%3.%4.%5.%6.%7"/>
      <w:lvlJc w:val="left"/>
      <w:pPr>
        <w:ind w:left="12600" w:hanging="1440"/>
      </w:pPr>
      <w:rPr>
        <w:rFonts w:hint="default"/>
      </w:rPr>
    </w:lvl>
    <w:lvl w:ilvl="7">
      <w:start w:val="1"/>
      <w:numFmt w:val="decimal"/>
      <w:lvlText w:val="%1.%2.%3.%4.%5.%6.%7.%8"/>
      <w:lvlJc w:val="left"/>
      <w:pPr>
        <w:ind w:left="14400" w:hanging="1440"/>
      </w:pPr>
      <w:rPr>
        <w:rFonts w:hint="default"/>
      </w:rPr>
    </w:lvl>
    <w:lvl w:ilvl="8">
      <w:start w:val="1"/>
      <w:numFmt w:val="decimal"/>
      <w:lvlText w:val="%1.%2.%3.%4.%5.%6.%7.%8.%9"/>
      <w:lvlJc w:val="left"/>
      <w:pPr>
        <w:ind w:left="16560" w:hanging="1800"/>
      </w:pPr>
      <w:rPr>
        <w:rFonts w:hint="default"/>
      </w:rPr>
    </w:lvl>
  </w:abstractNum>
  <w:abstractNum w:abstractNumId="3"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44B2B2A"/>
    <w:multiLevelType w:val="hybridMultilevel"/>
    <w:tmpl w:val="CA1417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A4E639F"/>
    <w:multiLevelType w:val="hybridMultilevel"/>
    <w:tmpl w:val="548CE420"/>
    <w:lvl w:ilvl="0" w:tplc="8836F664">
      <w:start w:val="1"/>
      <w:numFmt w:val="decimal"/>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BDA11E9"/>
    <w:multiLevelType w:val="hybridMultilevel"/>
    <w:tmpl w:val="D31426C4"/>
    <w:lvl w:ilvl="0" w:tplc="951E3E8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43E5AB0"/>
    <w:multiLevelType w:val="hybridMultilevel"/>
    <w:tmpl w:val="281E723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5960AA"/>
    <w:multiLevelType w:val="hybridMultilevel"/>
    <w:tmpl w:val="548CE420"/>
    <w:lvl w:ilvl="0" w:tplc="8836F664">
      <w:start w:val="1"/>
      <w:numFmt w:val="decimal"/>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A6B5D72"/>
    <w:multiLevelType w:val="hybridMultilevel"/>
    <w:tmpl w:val="AE0A4C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AC30079"/>
    <w:multiLevelType w:val="hybridMultilevel"/>
    <w:tmpl w:val="77C643B0"/>
    <w:lvl w:ilvl="0" w:tplc="0424000F">
      <w:start w:val="1"/>
      <w:numFmt w:val="decimal"/>
      <w:lvlText w:val="%1."/>
      <w:lvlJc w:val="left"/>
      <w:pPr>
        <w:tabs>
          <w:tab w:val="num" w:pos="502"/>
        </w:tabs>
        <w:ind w:left="502"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B073994"/>
    <w:multiLevelType w:val="hybridMultilevel"/>
    <w:tmpl w:val="040C77C4"/>
    <w:lvl w:ilvl="0" w:tplc="6BF29628">
      <w:start w:val="1"/>
      <w:numFmt w:val="bullet"/>
      <w:lvlText w:val="-"/>
      <w:lvlJc w:val="left"/>
      <w:pPr>
        <w:ind w:left="530" w:hanging="360"/>
      </w:pPr>
      <w:rPr>
        <w:rFonts w:ascii="Arial" w:eastAsia="Times New Roman" w:hAnsi="Arial" w:cs="Arial"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870AC5"/>
    <w:multiLevelType w:val="hybridMultilevel"/>
    <w:tmpl w:val="D56C18C4"/>
    <w:lvl w:ilvl="0" w:tplc="81064D80">
      <w:start w:val="1"/>
      <w:numFmt w:val="bullet"/>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101E41"/>
    <w:multiLevelType w:val="hybridMultilevel"/>
    <w:tmpl w:val="4CACDB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B252734"/>
    <w:multiLevelType w:val="hybridMultilevel"/>
    <w:tmpl w:val="548CE420"/>
    <w:lvl w:ilvl="0" w:tplc="8836F664">
      <w:start w:val="1"/>
      <w:numFmt w:val="decimal"/>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3F1C41"/>
    <w:multiLevelType w:val="multilevel"/>
    <w:tmpl w:val="4F5870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21"/>
  </w:num>
  <w:num w:numId="4">
    <w:abstractNumId w:val="0"/>
  </w:num>
  <w:num w:numId="5">
    <w:abstractNumId w:val="5"/>
  </w:num>
  <w:num w:numId="6">
    <w:abstractNumId w:val="31"/>
  </w:num>
  <w:num w:numId="7">
    <w:abstractNumId w:val="15"/>
  </w:num>
  <w:num w:numId="8">
    <w:abstractNumId w:val="25"/>
  </w:num>
  <w:num w:numId="9">
    <w:abstractNumId w:val="23"/>
  </w:num>
  <w:num w:numId="10">
    <w:abstractNumId w:val="8"/>
  </w:num>
  <w:num w:numId="11">
    <w:abstractNumId w:val="27"/>
  </w:num>
  <w:num w:numId="12">
    <w:abstractNumId w:val="33"/>
  </w:num>
  <w:num w:numId="13">
    <w:abstractNumId w:val="20"/>
  </w:num>
  <w:num w:numId="14">
    <w:abstractNumId w:val="10"/>
  </w:num>
  <w:num w:numId="15">
    <w:abstractNumId w:val="16"/>
    <w:lvlOverride w:ilvl="0">
      <w:startOverride w:val="1"/>
    </w:lvlOverride>
  </w:num>
  <w:num w:numId="16">
    <w:abstractNumId w:val="9"/>
  </w:num>
  <w:num w:numId="17">
    <w:abstractNumId w:val="1"/>
  </w:num>
  <w:num w:numId="18">
    <w:abstractNumId w:val="22"/>
  </w:num>
  <w:num w:numId="19">
    <w:abstractNumId w:val="24"/>
  </w:num>
  <w:num w:numId="20">
    <w:abstractNumId w:val="3"/>
  </w:num>
  <w:num w:numId="21">
    <w:abstractNumId w:val="6"/>
  </w:num>
  <w:num w:numId="22">
    <w:abstractNumId w:val="18"/>
  </w:num>
  <w:num w:numId="23">
    <w:abstractNumId w:val="19"/>
  </w:num>
  <w:num w:numId="24">
    <w:abstractNumId w:val="14"/>
  </w:num>
  <w:num w:numId="25">
    <w:abstractNumId w:val="30"/>
  </w:num>
  <w:num w:numId="26">
    <w:abstractNumId w:val="7"/>
  </w:num>
  <w:num w:numId="27">
    <w:abstractNumId w:val="13"/>
  </w:num>
  <w:num w:numId="28">
    <w:abstractNumId w:val="17"/>
  </w:num>
  <w:num w:numId="29">
    <w:abstractNumId w:val="4"/>
  </w:num>
  <w:num w:numId="30">
    <w:abstractNumId w:val="29"/>
  </w:num>
  <w:num w:numId="31">
    <w:abstractNumId w:val="11"/>
  </w:num>
  <w:num w:numId="32">
    <w:abstractNumId w:val="2"/>
  </w:num>
  <w:num w:numId="33">
    <w:abstractNumId w:val="32"/>
  </w:num>
  <w:num w:numId="34">
    <w:abstractNumId w:val="1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3424"/>
    <w:rsid w:val="0000739F"/>
    <w:rsid w:val="00007DF3"/>
    <w:rsid w:val="00017C34"/>
    <w:rsid w:val="00023A88"/>
    <w:rsid w:val="00045772"/>
    <w:rsid w:val="000A7238"/>
    <w:rsid w:val="000B0E9B"/>
    <w:rsid w:val="000B39A6"/>
    <w:rsid w:val="000B4708"/>
    <w:rsid w:val="000B5310"/>
    <w:rsid w:val="000C16EB"/>
    <w:rsid w:val="000D353D"/>
    <w:rsid w:val="000F302E"/>
    <w:rsid w:val="000F4C75"/>
    <w:rsid w:val="001015F7"/>
    <w:rsid w:val="00116AD0"/>
    <w:rsid w:val="00120B14"/>
    <w:rsid w:val="00131C24"/>
    <w:rsid w:val="001357B2"/>
    <w:rsid w:val="00147E71"/>
    <w:rsid w:val="00167239"/>
    <w:rsid w:val="0018314C"/>
    <w:rsid w:val="00184839"/>
    <w:rsid w:val="0018673D"/>
    <w:rsid w:val="00187871"/>
    <w:rsid w:val="001909BF"/>
    <w:rsid w:val="001C13F9"/>
    <w:rsid w:val="001C3317"/>
    <w:rsid w:val="001D385C"/>
    <w:rsid w:val="001E4CE2"/>
    <w:rsid w:val="001F1D04"/>
    <w:rsid w:val="0020107F"/>
    <w:rsid w:val="00202A77"/>
    <w:rsid w:val="00215EF2"/>
    <w:rsid w:val="00221DF3"/>
    <w:rsid w:val="002243CB"/>
    <w:rsid w:val="00231EB5"/>
    <w:rsid w:val="0023474D"/>
    <w:rsid w:val="0025301D"/>
    <w:rsid w:val="002532A5"/>
    <w:rsid w:val="002639B6"/>
    <w:rsid w:val="002709F3"/>
    <w:rsid w:val="00271CE5"/>
    <w:rsid w:val="00282020"/>
    <w:rsid w:val="00286920"/>
    <w:rsid w:val="002B3B94"/>
    <w:rsid w:val="002D0FAF"/>
    <w:rsid w:val="002D4130"/>
    <w:rsid w:val="002D49BD"/>
    <w:rsid w:val="002D6B96"/>
    <w:rsid w:val="002E146A"/>
    <w:rsid w:val="002E2302"/>
    <w:rsid w:val="002E4558"/>
    <w:rsid w:val="002F1CDD"/>
    <w:rsid w:val="00315FC4"/>
    <w:rsid w:val="00336650"/>
    <w:rsid w:val="00354D58"/>
    <w:rsid w:val="003636BF"/>
    <w:rsid w:val="0037479F"/>
    <w:rsid w:val="003845B4"/>
    <w:rsid w:val="0038754C"/>
    <w:rsid w:val="00387B1A"/>
    <w:rsid w:val="003B1255"/>
    <w:rsid w:val="003B62A1"/>
    <w:rsid w:val="003C7024"/>
    <w:rsid w:val="003E1C74"/>
    <w:rsid w:val="003E5F7D"/>
    <w:rsid w:val="00402A67"/>
    <w:rsid w:val="00407AF0"/>
    <w:rsid w:val="00416654"/>
    <w:rsid w:val="00416D7D"/>
    <w:rsid w:val="00421969"/>
    <w:rsid w:val="00424B74"/>
    <w:rsid w:val="0043694A"/>
    <w:rsid w:val="0044225A"/>
    <w:rsid w:val="0044361D"/>
    <w:rsid w:val="00447D7E"/>
    <w:rsid w:val="0047576E"/>
    <w:rsid w:val="004A6D8C"/>
    <w:rsid w:val="004B5335"/>
    <w:rsid w:val="004C31C2"/>
    <w:rsid w:val="004E42FC"/>
    <w:rsid w:val="004F4C67"/>
    <w:rsid w:val="00514B7A"/>
    <w:rsid w:val="00526246"/>
    <w:rsid w:val="00535B83"/>
    <w:rsid w:val="00540247"/>
    <w:rsid w:val="00563BE0"/>
    <w:rsid w:val="00567106"/>
    <w:rsid w:val="00570D41"/>
    <w:rsid w:val="005723BB"/>
    <w:rsid w:val="00573797"/>
    <w:rsid w:val="005B67DD"/>
    <w:rsid w:val="005C210C"/>
    <w:rsid w:val="005D1F04"/>
    <w:rsid w:val="005D2FA9"/>
    <w:rsid w:val="005E1D3C"/>
    <w:rsid w:val="00607E0E"/>
    <w:rsid w:val="00612FAC"/>
    <w:rsid w:val="00632253"/>
    <w:rsid w:val="00642714"/>
    <w:rsid w:val="006455CE"/>
    <w:rsid w:val="0065088A"/>
    <w:rsid w:val="00691BCB"/>
    <w:rsid w:val="006B0F72"/>
    <w:rsid w:val="006B6D70"/>
    <w:rsid w:val="006D42D9"/>
    <w:rsid w:val="006E6C56"/>
    <w:rsid w:val="006F7BD0"/>
    <w:rsid w:val="00733017"/>
    <w:rsid w:val="00736FD3"/>
    <w:rsid w:val="00744F4F"/>
    <w:rsid w:val="0076140F"/>
    <w:rsid w:val="007650DD"/>
    <w:rsid w:val="00767880"/>
    <w:rsid w:val="00783310"/>
    <w:rsid w:val="00795FB8"/>
    <w:rsid w:val="007A4A6D"/>
    <w:rsid w:val="007A710B"/>
    <w:rsid w:val="007C5999"/>
    <w:rsid w:val="007D1BCF"/>
    <w:rsid w:val="007D29C2"/>
    <w:rsid w:val="007D75CF"/>
    <w:rsid w:val="007E491E"/>
    <w:rsid w:val="007E60F5"/>
    <w:rsid w:val="007E6DC5"/>
    <w:rsid w:val="007F0FA4"/>
    <w:rsid w:val="007F533B"/>
    <w:rsid w:val="00817A4F"/>
    <w:rsid w:val="0082668D"/>
    <w:rsid w:val="00832120"/>
    <w:rsid w:val="00844519"/>
    <w:rsid w:val="008501E8"/>
    <w:rsid w:val="00877334"/>
    <w:rsid w:val="0088043C"/>
    <w:rsid w:val="008906C9"/>
    <w:rsid w:val="00890BA9"/>
    <w:rsid w:val="0089171A"/>
    <w:rsid w:val="008A4B3C"/>
    <w:rsid w:val="008A6ACE"/>
    <w:rsid w:val="008B0ECE"/>
    <w:rsid w:val="008C5738"/>
    <w:rsid w:val="008D04F0"/>
    <w:rsid w:val="008E4955"/>
    <w:rsid w:val="008F1DB4"/>
    <w:rsid w:val="008F3500"/>
    <w:rsid w:val="009245B7"/>
    <w:rsid w:val="00924E3C"/>
    <w:rsid w:val="0093178F"/>
    <w:rsid w:val="00936AF6"/>
    <w:rsid w:val="00952899"/>
    <w:rsid w:val="0095327E"/>
    <w:rsid w:val="009612BB"/>
    <w:rsid w:val="00976551"/>
    <w:rsid w:val="00980D68"/>
    <w:rsid w:val="00984363"/>
    <w:rsid w:val="00985C7D"/>
    <w:rsid w:val="00991864"/>
    <w:rsid w:val="00992643"/>
    <w:rsid w:val="009C5429"/>
    <w:rsid w:val="009E31E4"/>
    <w:rsid w:val="009F720F"/>
    <w:rsid w:val="00A05BC2"/>
    <w:rsid w:val="00A125C5"/>
    <w:rsid w:val="00A15628"/>
    <w:rsid w:val="00A205E8"/>
    <w:rsid w:val="00A20E8A"/>
    <w:rsid w:val="00A2661B"/>
    <w:rsid w:val="00A348B5"/>
    <w:rsid w:val="00A36A71"/>
    <w:rsid w:val="00A5039D"/>
    <w:rsid w:val="00A53FDC"/>
    <w:rsid w:val="00A61857"/>
    <w:rsid w:val="00A65EE7"/>
    <w:rsid w:val="00A70133"/>
    <w:rsid w:val="00A72C1E"/>
    <w:rsid w:val="00A80C9F"/>
    <w:rsid w:val="00A94B22"/>
    <w:rsid w:val="00A964EB"/>
    <w:rsid w:val="00A96677"/>
    <w:rsid w:val="00A97EF2"/>
    <w:rsid w:val="00AA36C6"/>
    <w:rsid w:val="00AA589F"/>
    <w:rsid w:val="00AA6433"/>
    <w:rsid w:val="00AB211C"/>
    <w:rsid w:val="00AC1D01"/>
    <w:rsid w:val="00AD0CBB"/>
    <w:rsid w:val="00AE05D3"/>
    <w:rsid w:val="00AE20B2"/>
    <w:rsid w:val="00AE5E23"/>
    <w:rsid w:val="00AF0CD4"/>
    <w:rsid w:val="00B17141"/>
    <w:rsid w:val="00B258B4"/>
    <w:rsid w:val="00B31575"/>
    <w:rsid w:val="00B33A16"/>
    <w:rsid w:val="00B44993"/>
    <w:rsid w:val="00B47D06"/>
    <w:rsid w:val="00B54467"/>
    <w:rsid w:val="00B77473"/>
    <w:rsid w:val="00B8547D"/>
    <w:rsid w:val="00B86451"/>
    <w:rsid w:val="00B93EDE"/>
    <w:rsid w:val="00BA28C8"/>
    <w:rsid w:val="00BB28C8"/>
    <w:rsid w:val="00BD5F65"/>
    <w:rsid w:val="00C03D03"/>
    <w:rsid w:val="00C108B4"/>
    <w:rsid w:val="00C16C94"/>
    <w:rsid w:val="00C20A9C"/>
    <w:rsid w:val="00C21D72"/>
    <w:rsid w:val="00C250D5"/>
    <w:rsid w:val="00C31F33"/>
    <w:rsid w:val="00C362DE"/>
    <w:rsid w:val="00C37B8F"/>
    <w:rsid w:val="00C5329F"/>
    <w:rsid w:val="00C53C51"/>
    <w:rsid w:val="00C8021B"/>
    <w:rsid w:val="00C92898"/>
    <w:rsid w:val="00CA56A4"/>
    <w:rsid w:val="00CA678E"/>
    <w:rsid w:val="00CB040C"/>
    <w:rsid w:val="00CB2576"/>
    <w:rsid w:val="00CB6EE0"/>
    <w:rsid w:val="00CC0436"/>
    <w:rsid w:val="00CC4BC1"/>
    <w:rsid w:val="00CC7B21"/>
    <w:rsid w:val="00CE7514"/>
    <w:rsid w:val="00CF7FD5"/>
    <w:rsid w:val="00D04605"/>
    <w:rsid w:val="00D248DE"/>
    <w:rsid w:val="00D5056C"/>
    <w:rsid w:val="00D71422"/>
    <w:rsid w:val="00D84A3E"/>
    <w:rsid w:val="00D8542D"/>
    <w:rsid w:val="00DB6E1D"/>
    <w:rsid w:val="00DC21E4"/>
    <w:rsid w:val="00DC6A71"/>
    <w:rsid w:val="00DE5B46"/>
    <w:rsid w:val="00E0357D"/>
    <w:rsid w:val="00E153B9"/>
    <w:rsid w:val="00E24EC2"/>
    <w:rsid w:val="00E27A6F"/>
    <w:rsid w:val="00E31011"/>
    <w:rsid w:val="00E36430"/>
    <w:rsid w:val="00E40C1D"/>
    <w:rsid w:val="00E41952"/>
    <w:rsid w:val="00E508FF"/>
    <w:rsid w:val="00EB4B5C"/>
    <w:rsid w:val="00EB6BC4"/>
    <w:rsid w:val="00EC1FF3"/>
    <w:rsid w:val="00EC7AF1"/>
    <w:rsid w:val="00EE62BB"/>
    <w:rsid w:val="00EE63A2"/>
    <w:rsid w:val="00EF1149"/>
    <w:rsid w:val="00F063BE"/>
    <w:rsid w:val="00F1194A"/>
    <w:rsid w:val="00F13584"/>
    <w:rsid w:val="00F144FF"/>
    <w:rsid w:val="00F240BB"/>
    <w:rsid w:val="00F43B4A"/>
    <w:rsid w:val="00F46724"/>
    <w:rsid w:val="00F57FED"/>
    <w:rsid w:val="00F86730"/>
    <w:rsid w:val="00F87DF8"/>
    <w:rsid w:val="00FA080A"/>
    <w:rsid w:val="00FA73EA"/>
    <w:rsid w:val="00FB367C"/>
    <w:rsid w:val="00FB6BF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48FA1E19"/>
  <w15:docId w15:val="{F13B3443-9E8D-473A-9779-7E057176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D49BD"/>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rPr>
  </w:style>
  <w:style w:type="paragraph" w:styleId="Telobesedila2">
    <w:name w:val="Body Text 2"/>
    <w:basedOn w:val="Navaden"/>
    <w:rsid w:val="00976551"/>
    <w:pPr>
      <w:spacing w:line="240" w:lineRule="auto"/>
      <w:jc w:val="both"/>
    </w:pPr>
    <w:rPr>
      <w:rFonts w:ascii="Times New Roman" w:hAnsi="Times New Roman"/>
      <w:b/>
      <w:bCs/>
      <w:sz w:val="24"/>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tabs>
        <w:tab w:val="num" w:pos="360"/>
      </w:tabs>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CA678E"/>
    <w:pPr>
      <w:tabs>
        <w:tab w:val="num" w:pos="360"/>
      </w:tabs>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5"/>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CA678E"/>
    <w:pPr>
      <w:numPr>
        <w:numId w:val="3"/>
      </w:numPr>
      <w:ind w:left="0" w:firstLine="0"/>
    </w:pPr>
  </w:style>
  <w:style w:type="character" w:customStyle="1" w:styleId="OdsekZnak">
    <w:name w:val="Odsek Znak"/>
    <w:link w:val="Odsek"/>
    <w:rsid w:val="00CA678E"/>
  </w:style>
  <w:style w:type="paragraph" w:styleId="Besedilooblaka">
    <w:name w:val="Balloon Text"/>
    <w:basedOn w:val="Navaden"/>
    <w:link w:val="BesedilooblakaZnak"/>
    <w:uiPriority w:val="99"/>
    <w:rsid w:val="00535B8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535B83"/>
    <w:rPr>
      <w:rFonts w:ascii="Tahoma" w:hAnsi="Tahoma" w:cs="Tahoma"/>
      <w:sz w:val="16"/>
      <w:szCs w:val="16"/>
      <w:lang w:val="en-US" w:eastAsia="en-US"/>
    </w:rPr>
  </w:style>
  <w:style w:type="paragraph" w:styleId="Odstavekseznama">
    <w:name w:val="List Paragraph"/>
    <w:basedOn w:val="Navaden"/>
    <w:uiPriority w:val="34"/>
    <w:qFormat/>
    <w:rsid w:val="002D49BD"/>
    <w:pPr>
      <w:spacing w:line="260" w:lineRule="exact"/>
      <w:ind w:left="720"/>
      <w:contextualSpacing/>
      <w:jc w:val="both"/>
    </w:pPr>
    <w:rPr>
      <w:szCs w:val="20"/>
      <w:lang w:eastAsia="sl-SI"/>
    </w:rPr>
  </w:style>
  <w:style w:type="character" w:customStyle="1" w:styleId="NogaZnak">
    <w:name w:val="Noga Znak"/>
    <w:basedOn w:val="Privzetapisavaodstavka"/>
    <w:link w:val="Noga"/>
    <w:uiPriority w:val="99"/>
    <w:rsid w:val="006E6C56"/>
    <w:rPr>
      <w:rFonts w:ascii="Arial" w:hAnsi="Arial"/>
      <w:szCs w:val="24"/>
      <w:lang w:eastAsia="en-US"/>
    </w:rPr>
  </w:style>
  <w:style w:type="character" w:styleId="Pripombasklic">
    <w:name w:val="annotation reference"/>
    <w:unhideWhenUsed/>
    <w:rsid w:val="00514B7A"/>
    <w:rPr>
      <w:sz w:val="16"/>
      <w:szCs w:val="16"/>
    </w:rPr>
  </w:style>
  <w:style w:type="paragraph" w:styleId="Pripombabesedilo">
    <w:name w:val="annotation text"/>
    <w:basedOn w:val="Navaden"/>
    <w:link w:val="PripombabesediloZnak"/>
    <w:unhideWhenUsed/>
    <w:rsid w:val="00514B7A"/>
    <w:pPr>
      <w:overflowPunct w:val="0"/>
      <w:autoSpaceDE w:val="0"/>
      <w:autoSpaceDN w:val="0"/>
      <w:adjustRightInd w:val="0"/>
      <w:spacing w:line="240" w:lineRule="auto"/>
      <w:jc w:val="both"/>
      <w:textAlignment w:val="baseline"/>
    </w:pPr>
    <w:rPr>
      <w:szCs w:val="20"/>
      <w:lang w:eastAsia="sl-SI"/>
    </w:rPr>
  </w:style>
  <w:style w:type="character" w:customStyle="1" w:styleId="PripombabesediloZnak">
    <w:name w:val="Pripomba – besedilo Znak"/>
    <w:basedOn w:val="Privzetapisavaodstavka"/>
    <w:link w:val="Pripombabesedilo"/>
    <w:rsid w:val="00514B7A"/>
    <w:rPr>
      <w:rFonts w:ascii="Arial" w:hAnsi="Arial"/>
    </w:rPr>
  </w:style>
  <w:style w:type="paragraph" w:customStyle="1" w:styleId="len">
    <w:name w:val="Člen"/>
    <w:basedOn w:val="Navaden"/>
    <w:link w:val="lenZnak"/>
    <w:qFormat/>
    <w:rsid w:val="00A36A71"/>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A36A71"/>
    <w:rPr>
      <w:rFonts w:ascii="Arial" w:hAnsi="Arial"/>
      <w:b/>
      <w:sz w:val="22"/>
      <w:szCs w:val="22"/>
      <w:lang w:val="x-none" w:eastAsia="x-none"/>
    </w:rPr>
  </w:style>
  <w:style w:type="paragraph" w:customStyle="1" w:styleId="Odstavek">
    <w:name w:val="Odstavek"/>
    <w:basedOn w:val="Navaden"/>
    <w:link w:val="OdstavekZnak"/>
    <w:qFormat/>
    <w:rsid w:val="00A36A71"/>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A36A71"/>
    <w:rPr>
      <w:rFonts w:ascii="Arial" w:hAnsi="Arial"/>
      <w:sz w:val="22"/>
      <w:szCs w:val="22"/>
      <w:lang w:val="x-none" w:eastAsia="x-none"/>
    </w:rPr>
  </w:style>
  <w:style w:type="paragraph" w:customStyle="1" w:styleId="Zamaknjenadolobaprvinivo">
    <w:name w:val="Zamaknjena določba_prvi nivo"/>
    <w:basedOn w:val="Alineazaodstavkom"/>
    <w:link w:val="ZamaknjenadolobaprvinivoZnak"/>
    <w:qFormat/>
    <w:rsid w:val="00A36A71"/>
    <w:pPr>
      <w:tabs>
        <w:tab w:val="clear" w:pos="360"/>
        <w:tab w:val="left" w:pos="540"/>
        <w:tab w:val="left" w:pos="900"/>
      </w:tabs>
      <w:overflowPunct/>
      <w:autoSpaceDE/>
      <w:autoSpaceDN/>
      <w:adjustRightInd/>
      <w:spacing w:line="240" w:lineRule="auto"/>
      <w:ind w:left="0" w:firstLine="0"/>
      <w:textAlignment w:val="auto"/>
    </w:pPr>
    <w:rPr>
      <w:rFonts w:cs="Times New Roman"/>
      <w:lang w:val="x-none" w:eastAsia="x-none"/>
    </w:rPr>
  </w:style>
  <w:style w:type="character" w:customStyle="1" w:styleId="ZamaknjenadolobaprvinivoZnak">
    <w:name w:val="Zamaknjena določba_prvi nivo Znak"/>
    <w:link w:val="Zamaknjenadolobaprvinivo"/>
    <w:rsid w:val="00A36A71"/>
    <w:rPr>
      <w:rFonts w:ascii="Arial" w:hAnsi="Arial"/>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2-01-1700" TargetMode="External"/><Relationship Id="rId18" Type="http://schemas.openxmlformats.org/officeDocument/2006/relationships/hyperlink" Target="http://www.uradni-list.si/1/objava.jsp?sop=2015-01-314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sop=2007-01-3641" TargetMode="External"/><Relationship Id="rId17" Type="http://schemas.openxmlformats.org/officeDocument/2006/relationships/hyperlink" Target="http://www.uradni-list.si/1/objava.jsp?sop=2010-01-3387" TargetMode="External"/><Relationship Id="rId2" Type="http://schemas.openxmlformats.org/officeDocument/2006/relationships/numbering" Target="numbering.xml"/><Relationship Id="rId16" Type="http://schemas.openxmlformats.org/officeDocument/2006/relationships/hyperlink" Target="http://www.uradni-list.si/1/objava.jsp?sop=2008-01-42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svz@gov.si" TargetMode="External"/><Relationship Id="rId5" Type="http://schemas.openxmlformats.org/officeDocument/2006/relationships/webSettings" Target="webSettings.xml"/><Relationship Id="rId15" Type="http://schemas.openxmlformats.org/officeDocument/2006/relationships/hyperlink" Target="http://www.uradni-list.si/1/objava.jsp?sop=2004-01-6333" TargetMode="External"/><Relationship Id="rId23" Type="http://schemas.openxmlformats.org/officeDocument/2006/relationships/theme" Target="theme/theme1.xml"/><Relationship Id="rId10" Type="http://schemas.openxmlformats.org/officeDocument/2006/relationships/hyperlink" Target="mailto:gp.mddsz@gov.si" TargetMode="External"/><Relationship Id="rId19" Type="http://schemas.openxmlformats.org/officeDocument/2006/relationships/hyperlink" Target="http://www.uradni-list.si/1/objava.jsp?sop=2015-01-3605" TargetMode="External"/><Relationship Id="rId4" Type="http://schemas.openxmlformats.org/officeDocument/2006/relationships/settings" Target="settings.xml"/><Relationship Id="rId9" Type="http://schemas.openxmlformats.org/officeDocument/2006/relationships/hyperlink" Target="mailto:gp.mop@gov.si" TargetMode="External"/><Relationship Id="rId14" Type="http://schemas.openxmlformats.org/officeDocument/2006/relationships/hyperlink" Target="http://www.uradni-list.si/1/objava.jsp?sop=2003-01-5566"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DFA3-FC9D-4151-8905-9F6854D0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6154</Words>
  <Characters>35083</Characters>
  <Application>Microsoft Office Word</Application>
  <DocSecurity>0</DocSecurity>
  <Lines>292</Lines>
  <Paragraphs>82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41155</CharactersWithSpaces>
  <SharedDoc>false</SharedDoc>
  <HLinks>
    <vt:vector size="18" baseType="variant">
      <vt:variant>
        <vt:i4>3473489</vt:i4>
      </vt:variant>
      <vt:variant>
        <vt:i4>6</vt:i4>
      </vt:variant>
      <vt:variant>
        <vt:i4>0</vt:i4>
      </vt:variant>
      <vt:variant>
        <vt:i4>5</vt:i4>
      </vt:variant>
      <vt:variant>
        <vt:lpwstr>mailto:gp.svz@gov.si</vt:lpwstr>
      </vt:variant>
      <vt:variant>
        <vt:lpwstr/>
      </vt:variant>
      <vt:variant>
        <vt:i4>2883653</vt:i4>
      </vt:variant>
      <vt:variant>
        <vt:i4>3</vt:i4>
      </vt:variant>
      <vt:variant>
        <vt:i4>0</vt:i4>
      </vt:variant>
      <vt:variant>
        <vt:i4>5</vt:i4>
      </vt:variant>
      <vt:variant>
        <vt:lpwstr>mailto:gp.mop@gov.si</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MOP</dc:creator>
  <cp:lastModifiedBy>Urša Rupar</cp:lastModifiedBy>
  <cp:revision>2</cp:revision>
  <cp:lastPrinted>2018-05-22T13:54:00Z</cp:lastPrinted>
  <dcterms:created xsi:type="dcterms:W3CDTF">2021-06-14T07:47:00Z</dcterms:created>
  <dcterms:modified xsi:type="dcterms:W3CDTF">2021-06-14T07:47:00Z</dcterms:modified>
</cp:coreProperties>
</file>