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A6E9D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</w:p>
    <w:p w14:paraId="3F123F46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</w:p>
    <w:p w14:paraId="3A1229C9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URAD PREDSEDNIKA REPUBLIKE</w:t>
      </w:r>
    </w:p>
    <w:p w14:paraId="65D9D730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DRŽAVNI ZBOR REPUBLIKE SLOVENIJE</w:t>
      </w:r>
    </w:p>
    <w:p w14:paraId="71213E1A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DRŽAVNI SVET REPUBLIKE SLOVENIJE</w:t>
      </w:r>
    </w:p>
    <w:p w14:paraId="23585A57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USTAVNO SODIŠČE REPUBLIKE SLOVENIJE</w:t>
      </w:r>
    </w:p>
    <w:p w14:paraId="0F8E8EDB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RAČUNSKO SODIŠČE REPUBLIKE SLOVENIJE</w:t>
      </w:r>
    </w:p>
    <w:p w14:paraId="6B0B1377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VARUH ČLOVEKOVIH PRAVIC REPUBLIKE SLOVENIJE</w:t>
      </w:r>
    </w:p>
    <w:p w14:paraId="22F6A701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DRŽAVNA REVIZIJSKA KOMISIJA REPUBLIKE SLOVENIJE</w:t>
      </w:r>
    </w:p>
    <w:p w14:paraId="6B71A50E" w14:textId="77777777" w:rsidR="00C10537" w:rsidRPr="00D80B8F" w:rsidRDefault="00C10537" w:rsidP="00C10537">
      <w:pPr>
        <w:jc w:val="both"/>
        <w:rPr>
          <w:rFonts w:cs="Arial"/>
          <w:b/>
          <w:color w:val="000000"/>
          <w:szCs w:val="20"/>
        </w:rPr>
      </w:pPr>
      <w:r w:rsidRPr="00D80B8F">
        <w:rPr>
          <w:rFonts w:cs="Arial"/>
          <w:b/>
          <w:color w:val="000000"/>
          <w:szCs w:val="20"/>
        </w:rPr>
        <w:t>INFORMACIJSKI POOBLAŠČENEC REPUBLIKE SLOVENIJE</w:t>
      </w:r>
    </w:p>
    <w:p w14:paraId="01D6062C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KOMISIJA ZA PREPREČEVANJE KORUPCIJE REPUBLIKE SLOVENIJE</w:t>
      </w:r>
    </w:p>
    <w:p w14:paraId="0AB771AC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DRŽAVNA VOLILNA KOMISIJA</w:t>
      </w:r>
    </w:p>
    <w:p w14:paraId="3A9082FE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FISKALNI SVET</w:t>
      </w:r>
    </w:p>
    <w:p w14:paraId="54FE1AE3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SODNI SVET</w:t>
      </w:r>
    </w:p>
    <w:p w14:paraId="335A521A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ZAGOVORNIK NAČELA ENAKOSTI</w:t>
      </w:r>
    </w:p>
    <w:p w14:paraId="2B0C8EE8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</w:p>
    <w:p w14:paraId="1BD31D7F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VRHOVNO SODIŠČE REPUBLIKE SLOVENIJE</w:t>
      </w:r>
    </w:p>
    <w:p w14:paraId="0D1F41FE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VRHOVNO DRŽAVNO TOŽILSTVO</w:t>
      </w:r>
    </w:p>
    <w:p w14:paraId="0333713D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DRŽAVNO ODVETNIŠTVO</w:t>
      </w:r>
    </w:p>
    <w:p w14:paraId="678BDAF8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</w:p>
    <w:p w14:paraId="7B5C4392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OBČINE</w:t>
      </w:r>
    </w:p>
    <w:p w14:paraId="1D9922F7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ZDRUŽENJE OBČIN SLOVENIJE</w:t>
      </w:r>
    </w:p>
    <w:p w14:paraId="16DF1900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SKUPNOST OBČIN SLOVENIJE</w:t>
      </w:r>
    </w:p>
    <w:p w14:paraId="07CEE27B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ZDRUŽENJE MESTNIH OBČIN SLOVENIJE</w:t>
      </w:r>
    </w:p>
    <w:p w14:paraId="26D3351E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</w:p>
    <w:p w14:paraId="0FA98EBA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MINISTRSTVA</w:t>
      </w:r>
    </w:p>
    <w:p w14:paraId="76D52C57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ORGANI V SESTAVI MINISTRSTEV</w:t>
      </w:r>
    </w:p>
    <w:p w14:paraId="6B12FD57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VLADNE SLUŽBE</w:t>
      </w:r>
    </w:p>
    <w:p w14:paraId="528DD6A2" w14:textId="77777777" w:rsidR="00C10537" w:rsidRPr="00D80B8F" w:rsidRDefault="00C10537" w:rsidP="00C10537">
      <w:pPr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UPRAVNE ENOTE</w:t>
      </w:r>
    </w:p>
    <w:p w14:paraId="266FF193" w14:textId="77777777" w:rsidR="00C10537" w:rsidRPr="00D80B8F" w:rsidRDefault="00C10537" w:rsidP="00C10537">
      <w:pPr>
        <w:jc w:val="both"/>
        <w:rPr>
          <w:rFonts w:cs="Arial"/>
          <w:color w:val="000000"/>
          <w:szCs w:val="20"/>
          <w:lang w:eastAsia="sl-SI"/>
        </w:rPr>
      </w:pPr>
    </w:p>
    <w:p w14:paraId="2F935D62" w14:textId="77777777" w:rsidR="00C10537" w:rsidRPr="00D80B8F" w:rsidRDefault="00C10537" w:rsidP="00C10537">
      <w:pPr>
        <w:pStyle w:val="datumtevilka"/>
        <w:jc w:val="both"/>
        <w:rPr>
          <w:rFonts w:cs="Arial"/>
        </w:rPr>
      </w:pPr>
    </w:p>
    <w:p w14:paraId="06FD29D3" w14:textId="7FED2CF9" w:rsidR="00E721E1" w:rsidRPr="00D80B8F" w:rsidRDefault="00C10537" w:rsidP="00C10537">
      <w:pPr>
        <w:pStyle w:val="datumtevilka"/>
        <w:jc w:val="both"/>
        <w:rPr>
          <w:rFonts w:cs="Arial"/>
        </w:rPr>
      </w:pPr>
      <w:r w:rsidRPr="00D80B8F">
        <w:rPr>
          <w:rFonts w:cs="Arial"/>
        </w:rPr>
        <w:t>Številka:</w:t>
      </w:r>
      <w:r w:rsidR="004B3270">
        <w:rPr>
          <w:rFonts w:cs="Arial"/>
        </w:rPr>
        <w:t xml:space="preserve"> 1002-1</w:t>
      </w:r>
      <w:r w:rsidR="005A1A71">
        <w:rPr>
          <w:rFonts w:cs="Arial"/>
        </w:rPr>
        <w:t>291</w:t>
      </w:r>
      <w:r w:rsidR="004B3270">
        <w:rPr>
          <w:rFonts w:cs="Arial"/>
        </w:rPr>
        <w:t>/2021/</w:t>
      </w:r>
      <w:r w:rsidR="00342D41">
        <w:rPr>
          <w:rFonts w:cs="Arial"/>
        </w:rPr>
        <w:t>5</w:t>
      </w:r>
    </w:p>
    <w:p w14:paraId="1358D028" w14:textId="52D2C336" w:rsidR="00C10537" w:rsidRPr="00D80B8F" w:rsidRDefault="00C10537" w:rsidP="00C10537">
      <w:pPr>
        <w:pStyle w:val="datumtevilka"/>
        <w:jc w:val="both"/>
        <w:rPr>
          <w:rFonts w:cs="Arial"/>
        </w:rPr>
      </w:pPr>
      <w:r w:rsidRPr="00D80B8F">
        <w:rPr>
          <w:rFonts w:cs="Arial"/>
        </w:rPr>
        <w:t xml:space="preserve">Datum: </w:t>
      </w:r>
      <w:r w:rsidR="00D14627" w:rsidRPr="00D80B8F">
        <w:rPr>
          <w:rFonts w:cs="Arial"/>
        </w:rPr>
        <w:t xml:space="preserve"> </w:t>
      </w:r>
      <w:r w:rsidR="00342D41">
        <w:rPr>
          <w:rFonts w:cs="Arial"/>
        </w:rPr>
        <w:t>9</w:t>
      </w:r>
      <w:r w:rsidR="005A1A71">
        <w:rPr>
          <w:rFonts w:cs="Arial"/>
        </w:rPr>
        <w:t>. 8</w:t>
      </w:r>
      <w:r w:rsidRPr="00D80B8F">
        <w:rPr>
          <w:rFonts w:cs="Arial"/>
        </w:rPr>
        <w:t>. 2021</w:t>
      </w:r>
    </w:p>
    <w:p w14:paraId="51365530" w14:textId="77777777" w:rsidR="00C10537" w:rsidRPr="00D80B8F" w:rsidRDefault="00C10537" w:rsidP="00C10537">
      <w:pPr>
        <w:jc w:val="both"/>
        <w:rPr>
          <w:rFonts w:cs="Arial"/>
          <w:szCs w:val="20"/>
        </w:rPr>
      </w:pPr>
    </w:p>
    <w:p w14:paraId="2C6EF74B" w14:textId="77777777" w:rsidR="00C10537" w:rsidRPr="00D80B8F" w:rsidRDefault="00C10537" w:rsidP="00C10537">
      <w:pPr>
        <w:jc w:val="both"/>
        <w:rPr>
          <w:rFonts w:cs="Arial"/>
          <w:szCs w:val="20"/>
        </w:rPr>
      </w:pPr>
    </w:p>
    <w:p w14:paraId="23991CB9" w14:textId="2E1C8773" w:rsidR="00BF15F4" w:rsidRPr="00574DC8" w:rsidRDefault="00026543" w:rsidP="00993289">
      <w:pPr>
        <w:ind w:left="1416" w:hanging="1416"/>
        <w:jc w:val="both"/>
        <w:rPr>
          <w:rFonts w:cs="Arial"/>
          <w:b/>
          <w:szCs w:val="20"/>
        </w:rPr>
      </w:pPr>
      <w:r w:rsidRPr="00D80B8F">
        <w:rPr>
          <w:rFonts w:cs="Arial"/>
          <w:b/>
          <w:szCs w:val="20"/>
        </w:rPr>
        <w:t>Zadeva:</w:t>
      </w:r>
      <w:bookmarkStart w:id="0" w:name="_Hlk78193733"/>
      <w:r w:rsidR="00993289">
        <w:rPr>
          <w:rFonts w:cs="Arial"/>
          <w:b/>
          <w:szCs w:val="20"/>
        </w:rPr>
        <w:tab/>
        <w:t xml:space="preserve">Vpliv odsotnosti z dela  na višino letne ocene delovne uspešnosti  </w:t>
      </w:r>
    </w:p>
    <w:p w14:paraId="0562FC7E" w14:textId="43EFA904" w:rsidR="00BF15F4" w:rsidRPr="00D80B8F" w:rsidRDefault="00BF15F4" w:rsidP="00BF15F4">
      <w:pPr>
        <w:tabs>
          <w:tab w:val="left" w:pos="1701"/>
        </w:tabs>
        <w:spacing w:line="260" w:lineRule="exact"/>
        <w:ind w:left="1701" w:hanging="1701"/>
        <w:rPr>
          <w:rFonts w:cs="Arial"/>
          <w:b/>
          <w:szCs w:val="20"/>
        </w:rPr>
      </w:pPr>
    </w:p>
    <w:bookmarkEnd w:id="0"/>
    <w:p w14:paraId="7EC98255" w14:textId="77777777" w:rsidR="00BF15F4" w:rsidRPr="00D80B8F" w:rsidRDefault="00BF15F4" w:rsidP="00BF15F4">
      <w:pPr>
        <w:jc w:val="both"/>
        <w:rPr>
          <w:rFonts w:cs="Arial"/>
          <w:szCs w:val="20"/>
        </w:rPr>
      </w:pPr>
    </w:p>
    <w:p w14:paraId="278B41FC" w14:textId="680F1A3A" w:rsidR="00C10537" w:rsidRPr="00D80B8F" w:rsidRDefault="00C10537" w:rsidP="00C10537">
      <w:pPr>
        <w:jc w:val="both"/>
        <w:rPr>
          <w:rFonts w:cs="Arial"/>
          <w:szCs w:val="20"/>
        </w:rPr>
      </w:pPr>
      <w:r w:rsidRPr="00D80B8F">
        <w:rPr>
          <w:rFonts w:cs="Arial"/>
          <w:szCs w:val="20"/>
        </w:rPr>
        <w:t>Spoštovani,</w:t>
      </w:r>
    </w:p>
    <w:p w14:paraId="3FDE5BB6" w14:textId="77777777" w:rsidR="00D72893" w:rsidRPr="00D80B8F" w:rsidRDefault="00D72893" w:rsidP="00C10537">
      <w:pPr>
        <w:jc w:val="both"/>
        <w:rPr>
          <w:rFonts w:cs="Arial"/>
          <w:szCs w:val="20"/>
        </w:rPr>
      </w:pPr>
    </w:p>
    <w:p w14:paraId="5D6F9033" w14:textId="210DC078" w:rsidR="00834246" w:rsidRDefault="00026543" w:rsidP="00834246">
      <w:pPr>
        <w:jc w:val="both"/>
        <w:rPr>
          <w:rFonts w:cs="Arial"/>
          <w:szCs w:val="20"/>
        </w:rPr>
      </w:pPr>
      <w:r w:rsidRPr="00D80B8F">
        <w:rPr>
          <w:rFonts w:cs="Arial"/>
          <w:szCs w:val="20"/>
        </w:rPr>
        <w:t>obveščamo vas, da s</w:t>
      </w:r>
      <w:r w:rsidR="00F81188">
        <w:rPr>
          <w:rFonts w:cs="Arial"/>
          <w:szCs w:val="20"/>
        </w:rPr>
        <w:t>ta</w:t>
      </w:r>
      <w:r w:rsidRPr="00D80B8F">
        <w:rPr>
          <w:rFonts w:cs="Arial"/>
          <w:szCs w:val="20"/>
        </w:rPr>
        <w:t xml:space="preserve"> bil</w:t>
      </w:r>
      <w:r w:rsidR="00F81188">
        <w:rPr>
          <w:rFonts w:cs="Arial"/>
          <w:szCs w:val="20"/>
        </w:rPr>
        <w:t>i</w:t>
      </w:r>
      <w:r w:rsidRPr="00D80B8F">
        <w:rPr>
          <w:rFonts w:cs="Arial"/>
          <w:szCs w:val="20"/>
        </w:rPr>
        <w:t xml:space="preserve"> dne </w:t>
      </w:r>
      <w:r w:rsidR="00AF292A">
        <w:rPr>
          <w:rFonts w:cs="Arial"/>
          <w:szCs w:val="20"/>
        </w:rPr>
        <w:t>3.8.2021 na uradni strani Z</w:t>
      </w:r>
      <w:r w:rsidR="00AF292A" w:rsidRPr="00AF292A">
        <w:rPr>
          <w:rFonts w:cs="Arial"/>
          <w:szCs w:val="20"/>
        </w:rPr>
        <w:t>agovornik</w:t>
      </w:r>
      <w:r w:rsidR="00AF292A">
        <w:rPr>
          <w:rFonts w:cs="Arial"/>
          <w:szCs w:val="20"/>
        </w:rPr>
        <w:t>a</w:t>
      </w:r>
      <w:r w:rsidR="00AF292A" w:rsidRPr="00AF292A">
        <w:rPr>
          <w:rFonts w:cs="Arial"/>
          <w:szCs w:val="20"/>
        </w:rPr>
        <w:t xml:space="preserve"> načela enakosti</w:t>
      </w:r>
      <w:r w:rsidR="00AF292A">
        <w:rPr>
          <w:rFonts w:cs="Arial"/>
          <w:szCs w:val="20"/>
        </w:rPr>
        <w:t xml:space="preserve"> na povezavi</w:t>
      </w:r>
      <w:r w:rsidR="00B035B8">
        <w:rPr>
          <w:rFonts w:cs="Arial"/>
          <w:szCs w:val="20"/>
        </w:rPr>
        <w:t xml:space="preserve"> </w:t>
      </w:r>
      <w:hyperlink r:id="rId7" w:history="1">
        <w:r w:rsidR="00AF292A" w:rsidRPr="00B5609A">
          <w:rPr>
            <w:rStyle w:val="Hiperpovezava"/>
            <w:rFonts w:cs="Arial"/>
            <w:szCs w:val="20"/>
          </w:rPr>
          <w:t>http://www.zagovornik.si/diskriminacija-javne-usluzbenke-na-porodniski-pri-dodelitvi-letne-ocene-dela/</w:t>
        </w:r>
      </w:hyperlink>
      <w:r w:rsidR="00AF292A">
        <w:rPr>
          <w:rFonts w:cs="Arial"/>
          <w:szCs w:val="20"/>
        </w:rPr>
        <w:t xml:space="preserve"> objavljeni</w:t>
      </w:r>
    </w:p>
    <w:p w14:paraId="27EC0985" w14:textId="77777777" w:rsidR="00834246" w:rsidRDefault="00834246" w:rsidP="00834246">
      <w:pPr>
        <w:jc w:val="both"/>
        <w:rPr>
          <w:rFonts w:cs="Arial"/>
          <w:szCs w:val="20"/>
        </w:rPr>
      </w:pPr>
    </w:p>
    <w:p w14:paraId="2098E346" w14:textId="77777777" w:rsidR="00834246" w:rsidRDefault="00834246" w:rsidP="00834246">
      <w:pPr>
        <w:jc w:val="both"/>
        <w:rPr>
          <w:rFonts w:cs="Arial"/>
          <w:szCs w:val="20"/>
        </w:rPr>
      </w:pPr>
    </w:p>
    <w:p w14:paraId="290791F5" w14:textId="77777777" w:rsidR="00834246" w:rsidRPr="00834246" w:rsidRDefault="00AF292A" w:rsidP="00834246">
      <w:pPr>
        <w:pStyle w:val="Odstavekseznama"/>
        <w:numPr>
          <w:ilvl w:val="0"/>
          <w:numId w:val="21"/>
        </w:numPr>
        <w:jc w:val="both"/>
        <w:rPr>
          <w:rFonts w:cs="Arial"/>
          <w:szCs w:val="20"/>
        </w:rPr>
      </w:pPr>
      <w:r w:rsidRPr="00834246">
        <w:rPr>
          <w:rFonts w:cs="Arial"/>
          <w:szCs w:val="20"/>
        </w:rPr>
        <w:t>Odločba</w:t>
      </w:r>
      <w:r w:rsidR="00C33355" w:rsidRPr="00834246">
        <w:rPr>
          <w:rFonts w:cs="Arial"/>
          <w:szCs w:val="20"/>
        </w:rPr>
        <w:t xml:space="preserve"> Zagovornika načela enakosti št 0700-26/2020/41 z dne 1. 7. 2021</w:t>
      </w:r>
      <w:r w:rsidR="00834246" w:rsidRPr="00834246">
        <w:rPr>
          <w:rFonts w:cs="Arial"/>
          <w:szCs w:val="20"/>
        </w:rPr>
        <w:t xml:space="preserve">, in </w:t>
      </w:r>
    </w:p>
    <w:p w14:paraId="20CAD5D2" w14:textId="15A65531" w:rsidR="00AF292A" w:rsidRPr="00BF1BC0" w:rsidRDefault="00834246" w:rsidP="0060671A">
      <w:pPr>
        <w:pStyle w:val="Odstavekseznama"/>
        <w:numPr>
          <w:ilvl w:val="0"/>
          <w:numId w:val="21"/>
        </w:numPr>
        <w:jc w:val="both"/>
        <w:rPr>
          <w:rFonts w:cs="Arial"/>
          <w:szCs w:val="20"/>
        </w:rPr>
      </w:pPr>
      <w:r>
        <w:lastRenderedPageBreak/>
        <w:t>Priporočilo Zagovornika načela enakosti Ministrstvu za javno upravo  glede ocenjevanja javnih uslužbencev</w:t>
      </w:r>
      <w:r w:rsidR="00B035B8">
        <w:t>.</w:t>
      </w:r>
    </w:p>
    <w:p w14:paraId="773E91A4" w14:textId="77777777" w:rsidR="00AF292A" w:rsidRDefault="00AF292A" w:rsidP="00C10537">
      <w:pPr>
        <w:jc w:val="both"/>
        <w:rPr>
          <w:rFonts w:cs="Arial"/>
          <w:szCs w:val="20"/>
        </w:rPr>
      </w:pPr>
    </w:p>
    <w:p w14:paraId="0A999860" w14:textId="77777777" w:rsidR="00AF292A" w:rsidRDefault="00AF292A" w:rsidP="00C10537">
      <w:pPr>
        <w:jc w:val="both"/>
        <w:rPr>
          <w:rFonts w:cs="Arial"/>
          <w:szCs w:val="20"/>
        </w:rPr>
      </w:pPr>
    </w:p>
    <w:p w14:paraId="17B55380" w14:textId="77777777" w:rsidR="00AF292A" w:rsidRDefault="00AF292A" w:rsidP="00C10537">
      <w:pPr>
        <w:jc w:val="both"/>
        <w:rPr>
          <w:rFonts w:cs="Arial"/>
          <w:szCs w:val="20"/>
        </w:rPr>
      </w:pPr>
    </w:p>
    <w:p w14:paraId="1D056BA3" w14:textId="4A147B04" w:rsidR="00AF292A" w:rsidRDefault="007F48A8" w:rsidP="007F48A8">
      <w:pPr>
        <w:pStyle w:val="Odstavekseznama"/>
        <w:numPr>
          <w:ilvl w:val="0"/>
          <w:numId w:val="17"/>
        </w:numPr>
        <w:jc w:val="both"/>
        <w:rPr>
          <w:rFonts w:cs="Arial"/>
          <w:b/>
          <w:bCs/>
          <w:szCs w:val="20"/>
        </w:rPr>
      </w:pPr>
      <w:r w:rsidRPr="007F48A8">
        <w:rPr>
          <w:rFonts w:cs="Arial"/>
          <w:b/>
          <w:bCs/>
          <w:szCs w:val="20"/>
        </w:rPr>
        <w:t>Odločba Zagovornika načela enakosti št 0700-26/2020/41 z dne 1. 7. 2021</w:t>
      </w:r>
    </w:p>
    <w:p w14:paraId="226329DC" w14:textId="77777777" w:rsidR="007F48A8" w:rsidRDefault="007F48A8" w:rsidP="007F48A8">
      <w:pPr>
        <w:jc w:val="both"/>
      </w:pPr>
    </w:p>
    <w:p w14:paraId="0EC032C8" w14:textId="2EBFC11E" w:rsidR="007F48A8" w:rsidRPr="007F48A8" w:rsidRDefault="007F48A8" w:rsidP="007F48A8">
      <w:pPr>
        <w:jc w:val="both"/>
        <w:rPr>
          <w:rFonts w:cs="Arial"/>
          <w:b/>
          <w:bCs/>
          <w:szCs w:val="20"/>
        </w:rPr>
      </w:pPr>
      <w:r>
        <w:t>Z odločbo</w:t>
      </w:r>
      <w:r w:rsidR="003B4EF6">
        <w:t xml:space="preserve"> Zagovornika načela enakosti (v nadaljevanju</w:t>
      </w:r>
      <w:r w:rsidR="007E23D0">
        <w:t>:</w:t>
      </w:r>
      <w:r w:rsidR="003B4EF6">
        <w:t xml:space="preserve"> Zagovornik)</w:t>
      </w:r>
      <w:r>
        <w:t xml:space="preserve"> se ugotovi, da je oseba javnega prava, zanj predstojnica, kršila prepoved diskriminacije zaradi starševstva in spola, s tem</w:t>
      </w:r>
      <w:r w:rsidR="003B4EF6">
        <w:t>,</w:t>
      </w:r>
      <w:r>
        <w:t xml:space="preserve"> ko je kot bistven kriterij pri dodelitvi ocene javni uslužbenki </w:t>
      </w:r>
      <w:r w:rsidR="007E23D0">
        <w:t>zelo</w:t>
      </w:r>
      <w:r>
        <w:t xml:space="preserve"> dobro (4) v letu 2019 v primerjavi z leti 2017 in 2018, ko je bila javni uslužbenki dodeljena ocena odlično (5), upoštevala odsotnost z dela. Zagovornik v zaključnem delu ugotavlja, da celota vseh navedenih dokazov kaže na samo en možen izid konkretnega postopka, in sicer, da je predlagateljica oceno </w:t>
      </w:r>
      <w:r w:rsidR="007E2000">
        <w:t xml:space="preserve">zelo </w:t>
      </w:r>
      <w:r>
        <w:t xml:space="preserve">dobro (4) v letu 2019 prejela na podlagi odsotnosti na delovnem mestu. Zagovornik je z gotovostjo ugotovil povezavo med odsotnostjo predlagateljice in ostalih zaposlenih v vrtcu ter njihovimi letnimi ocenami dela. </w:t>
      </w:r>
    </w:p>
    <w:p w14:paraId="1AC90246" w14:textId="77777777" w:rsidR="00AF292A" w:rsidRDefault="00AF292A" w:rsidP="00C10537">
      <w:pPr>
        <w:jc w:val="both"/>
        <w:rPr>
          <w:rFonts w:cs="Arial"/>
          <w:szCs w:val="20"/>
        </w:rPr>
      </w:pPr>
    </w:p>
    <w:p w14:paraId="52513215" w14:textId="77777777" w:rsidR="007A7984" w:rsidRPr="00D80B8F" w:rsidRDefault="007A7984" w:rsidP="007A7984">
      <w:pPr>
        <w:jc w:val="both"/>
        <w:rPr>
          <w:rFonts w:cs="Arial"/>
          <w:szCs w:val="20"/>
        </w:rPr>
      </w:pPr>
    </w:p>
    <w:p w14:paraId="20E0AD23" w14:textId="55D81A4E" w:rsidR="0043340E" w:rsidRPr="001C7705" w:rsidRDefault="00840EB5" w:rsidP="001C7705">
      <w:pPr>
        <w:pStyle w:val="Odstavekseznama"/>
        <w:numPr>
          <w:ilvl w:val="0"/>
          <w:numId w:val="17"/>
        </w:numPr>
        <w:jc w:val="both"/>
        <w:rPr>
          <w:rFonts w:cs="Arial"/>
          <w:b/>
          <w:bCs/>
          <w:szCs w:val="20"/>
        </w:rPr>
      </w:pPr>
      <w:r w:rsidRPr="00840EB5">
        <w:rPr>
          <w:rFonts w:cs="Arial"/>
          <w:b/>
          <w:bCs/>
          <w:szCs w:val="20"/>
        </w:rPr>
        <w:t xml:space="preserve">Priporočilo Zagovornika načela enakosti glede ocenjevanja javnih uslužbencev </w:t>
      </w:r>
      <w:r w:rsidR="0043340E" w:rsidRPr="001C7705">
        <w:rPr>
          <w:rFonts w:cs="Arial"/>
          <w:b/>
          <w:bCs/>
          <w:szCs w:val="20"/>
        </w:rPr>
        <w:t xml:space="preserve"> </w:t>
      </w:r>
    </w:p>
    <w:p w14:paraId="7090BC50" w14:textId="78BB5F83" w:rsidR="00981F85" w:rsidRPr="00D80B8F" w:rsidRDefault="00981F85" w:rsidP="00981F85">
      <w:pPr>
        <w:jc w:val="both"/>
        <w:rPr>
          <w:rFonts w:cs="Arial"/>
          <w:iCs/>
          <w:szCs w:val="20"/>
          <w:lang w:eastAsia="sl-SI"/>
        </w:rPr>
      </w:pPr>
    </w:p>
    <w:p w14:paraId="28ADB864" w14:textId="5F416D31" w:rsidR="00A364E2" w:rsidRDefault="00557647" w:rsidP="005A345D">
      <w:pPr>
        <w:jc w:val="both"/>
      </w:pPr>
      <w:r>
        <w:t xml:space="preserve">Kriteriji za oceno delovne uspešnosti iz </w:t>
      </w:r>
      <w:r w:rsidR="00323D0C" w:rsidRPr="00323D0C">
        <w:t>Zakon</w:t>
      </w:r>
      <w:r w:rsidR="00323D0C">
        <w:t>a</w:t>
      </w:r>
      <w:r w:rsidR="00323D0C" w:rsidRPr="00323D0C">
        <w:t xml:space="preserve"> o sistemu plač v javnem sektorju (Uradni list RS, št. 108/09 – uradno prečiščeno besedilo, 13/10, 59/10, 85/10, 107/10, 35/11 – ORZSPJS49a, 27/12 – </w:t>
      </w:r>
      <w:proofErr w:type="spellStart"/>
      <w:r w:rsidR="00323D0C" w:rsidRPr="00323D0C">
        <w:t>odl</w:t>
      </w:r>
      <w:proofErr w:type="spellEnd"/>
      <w:r w:rsidR="00323D0C" w:rsidRPr="00323D0C">
        <w:t xml:space="preserve">. US, 40/12 – ZUJF, 46/13, 25/14 – ZFU, 50/14, 95/14 – ZUPPJS15, 82/15, 23/17 – </w:t>
      </w:r>
      <w:proofErr w:type="spellStart"/>
      <w:r w:rsidR="00323D0C" w:rsidRPr="00323D0C">
        <w:t>ZDOdv</w:t>
      </w:r>
      <w:proofErr w:type="spellEnd"/>
      <w:r w:rsidR="00323D0C" w:rsidRPr="00323D0C">
        <w:t>, 67/17 in 84/18)</w:t>
      </w:r>
      <w:r w:rsidR="00323D0C">
        <w:t xml:space="preserve"> </w:t>
      </w:r>
      <w:r>
        <w:t>in Uredbe o napredovanju javnih uslužbencev v plačne razrede</w:t>
      </w:r>
      <w:r w:rsidR="00975AEF">
        <w:t xml:space="preserve"> </w:t>
      </w:r>
      <w:r w:rsidR="00975AEF" w:rsidRPr="00975AEF">
        <w:t>(Uradni list RS, št. 51/08, 91/08, 113/09 in 22/19)</w:t>
      </w:r>
      <w:r w:rsidR="00B035B8">
        <w:t xml:space="preserve"> </w:t>
      </w:r>
      <w:r>
        <w:t>ne vsebujejo odsotnosti oziroma prisotnosti zaposlenega na delovnem mestu, praksa pa v slabši položaj postavlja nosečnice, starše in osebe, ki so zaradi svojega zdravstvenega stanja bolniško odsotne</w:t>
      </w:r>
      <w:r w:rsidR="005A345D">
        <w:t>. Glede na navedeno je</w:t>
      </w:r>
      <w:r>
        <w:t xml:space="preserve"> Zagovornik v zadevi ugotovil obstoj posredne diskriminacije zaposlenih v javnem zavodu zaradi starševstva, spola in pa tudi zaradi zdravstvenega stanja</w:t>
      </w:r>
      <w:r w:rsidR="005A345D">
        <w:t xml:space="preserve"> in</w:t>
      </w:r>
      <w:r>
        <w:t xml:space="preserve"> skladno s svojo pristojnostjo po drugi alineji 21. člena </w:t>
      </w:r>
      <w:proofErr w:type="spellStart"/>
      <w:r>
        <w:t>ZVarD</w:t>
      </w:r>
      <w:proofErr w:type="spellEnd"/>
      <w:r>
        <w:t xml:space="preserve"> Ministrstvu za javno upravo priporoč</w:t>
      </w:r>
      <w:r w:rsidR="002324F2">
        <w:t>il</w:t>
      </w:r>
      <w:r>
        <w:t xml:space="preserve"> izdajo okrožnice </w:t>
      </w:r>
      <w:r w:rsidR="007E2000">
        <w:t xml:space="preserve">delodajalcem v javnem sektorju </w:t>
      </w:r>
      <w:r>
        <w:t xml:space="preserve">z opozorilom, da zniževanje letnih ocen dela zaradi upravičene odsotnosti z dela pomeni posredno diskriminacijo, ki jo predpisi prepovedujejo, ter da naj osebe, pristojne za letno ocenjevanje dela zaposlenih, to upoštevajo pri dodeljevanju letnih ocen dela. </w:t>
      </w:r>
    </w:p>
    <w:p w14:paraId="2EE01B5B" w14:textId="77777777" w:rsidR="002324F2" w:rsidRDefault="002324F2" w:rsidP="005A345D">
      <w:pPr>
        <w:jc w:val="both"/>
      </w:pPr>
    </w:p>
    <w:p w14:paraId="18B02D8B" w14:textId="1A1EA545" w:rsidR="00232906" w:rsidRDefault="007E2000" w:rsidP="005A345D">
      <w:pPr>
        <w:jc w:val="both"/>
      </w:pPr>
      <w:r>
        <w:t xml:space="preserve">Upoštevaje zgoraj navedeno </w:t>
      </w:r>
      <w:r w:rsidR="00232906">
        <w:t xml:space="preserve">v </w:t>
      </w:r>
      <w:r w:rsidR="005A345D" w:rsidRPr="00BF1BC0">
        <w:t>Ministrstv</w:t>
      </w:r>
      <w:r w:rsidR="00232906">
        <w:t>u</w:t>
      </w:r>
      <w:r w:rsidR="005A345D" w:rsidRPr="00BF1BC0">
        <w:t xml:space="preserve"> za javno upravo</w:t>
      </w:r>
      <w:r w:rsidR="00232906">
        <w:t xml:space="preserve">, kot pristojnem organu za sistem plač v javnem sektorju želimo opozoriti, da iz veljavnega normativnega okvirja (17. člen Zakona o sistem plač v javnem sektorju </w:t>
      </w:r>
      <w:r w:rsidR="0038639E">
        <w:t>–</w:t>
      </w:r>
      <w:r w:rsidR="00232906">
        <w:t xml:space="preserve"> ZSPJS, Uredba o napredovanju javnih uslužbencev v plačne razrede) izhaja, da sta edina pogoja za napredovanje v plačn</w:t>
      </w:r>
      <w:r w:rsidR="00C64A1A">
        <w:t>i</w:t>
      </w:r>
      <w:r w:rsidR="00232906">
        <w:t xml:space="preserve"> razred potek najmanj triletnega napredovalnega obdobja ter ustrezna ocena delovne uspešnosti. Slednja se določi na podlagi kriterijev iz 17. člena ZSPJS, ki so </w:t>
      </w:r>
      <w:r w:rsidR="00993289">
        <w:t xml:space="preserve">za večino proračunskih uporabnikov </w:t>
      </w:r>
      <w:r w:rsidR="00232906">
        <w:t>podrobneje opredeljeni s Prilogo III zgoraj navedene uredbe.</w:t>
      </w:r>
      <w:r w:rsidR="0038639E">
        <w:t xml:space="preserve"> </w:t>
      </w:r>
      <w:r w:rsidR="00232906">
        <w:t xml:space="preserve">Ista uredba v </w:t>
      </w:r>
      <w:r w:rsidR="00355909">
        <w:t xml:space="preserve">4. členu </w:t>
      </w:r>
      <w:r w:rsidR="00232906">
        <w:t xml:space="preserve">določa </w:t>
      </w:r>
      <w:r w:rsidR="00355909">
        <w:t xml:space="preserve">postopek ocenjevanja, pri čemer je iz vsebine tretjega odstavka </w:t>
      </w:r>
      <w:r w:rsidR="00AF5C5B">
        <w:t xml:space="preserve">tega člena </w:t>
      </w:r>
      <w:r w:rsidR="00355909">
        <w:t>mogoče razbrati</w:t>
      </w:r>
      <w:r w:rsidR="00232906">
        <w:t xml:space="preserve">, v katerih </w:t>
      </w:r>
      <w:r w:rsidR="00355909">
        <w:t xml:space="preserve">primerih </w:t>
      </w:r>
      <w:r w:rsidR="00232906">
        <w:t xml:space="preserve">se javnega uslužbenca ne oceni. </w:t>
      </w:r>
    </w:p>
    <w:p w14:paraId="775B1D99" w14:textId="77777777" w:rsidR="00232906" w:rsidRDefault="00232906" w:rsidP="005A345D">
      <w:pPr>
        <w:jc w:val="both"/>
      </w:pPr>
    </w:p>
    <w:p w14:paraId="037A4B81" w14:textId="5F6ADD58" w:rsidR="0038639E" w:rsidRDefault="00232906" w:rsidP="005A345D">
      <w:pPr>
        <w:jc w:val="both"/>
      </w:pPr>
      <w:r>
        <w:t xml:space="preserve">Tako iz samih kriterijev za določitev letne ocene </w:t>
      </w:r>
      <w:r w:rsidR="00C64A1A">
        <w:t xml:space="preserve">delovne uspešnosti </w:t>
      </w:r>
      <w:r>
        <w:t xml:space="preserve">kot iz </w:t>
      </w:r>
      <w:r w:rsidR="007D1C03">
        <w:t xml:space="preserve">zgoraj navedene </w:t>
      </w:r>
      <w:r w:rsidR="00C64A1A">
        <w:t xml:space="preserve">uredbe, ki ureja </w:t>
      </w:r>
      <w:r w:rsidR="00355909" w:rsidRPr="00355909">
        <w:t>način in postopek preverjanja izpolnjevanja pogojev za napredovanje javnih uslužbencev na delovnem mestu oziroma v nazivu v višji plačni razred</w:t>
      </w:r>
      <w:r w:rsidR="00355909">
        <w:rPr>
          <w:rFonts w:cs="Arial"/>
          <w:color w:val="000000"/>
          <w:sz w:val="22"/>
          <w:szCs w:val="22"/>
          <w:shd w:val="clear" w:color="auto" w:fill="FFFFFF"/>
        </w:rPr>
        <w:t> </w:t>
      </w:r>
      <w:r w:rsidR="00C64A1A">
        <w:t xml:space="preserve">izhaja, da odsotnost z dela nima vpliva na </w:t>
      </w:r>
      <w:r w:rsidR="00C64A1A" w:rsidRPr="00355909">
        <w:rPr>
          <w:b/>
          <w:bCs/>
        </w:rPr>
        <w:t xml:space="preserve">višino </w:t>
      </w:r>
      <w:r w:rsidR="00C64A1A">
        <w:t>ocene delovne uspešnosti.</w:t>
      </w:r>
      <w:r w:rsidR="00614173">
        <w:t xml:space="preserve"> </w:t>
      </w:r>
      <w:r w:rsidR="00AF5C5B">
        <w:t xml:space="preserve">Upoštevaje veljavni normativni okvir se torej ocena delovne uspešnosti, ki je pogoj za napredovanje v višji plačni razred </w:t>
      </w:r>
      <w:r w:rsidR="0038639E">
        <w:t xml:space="preserve">določi izključno glede na kriterije ocenjevanja iz 17. člena ZSPJS in Priloge III Uredbe o napredovanju javnih uslužbencev v plačne. Ob tem velja opozoriti, da je </w:t>
      </w:r>
      <w:r w:rsidR="007D1C03">
        <w:t xml:space="preserve">dosledna </w:t>
      </w:r>
      <w:r w:rsidR="0038639E">
        <w:t xml:space="preserve">uporaba kriterijev iz 17. člena ZSPJS pri ocenjevanju delovne uspešnosti obvezna tudi za proračunske uporabnike, za katere </w:t>
      </w:r>
      <w:r w:rsidR="00BC6568">
        <w:t xml:space="preserve">zakon določa, da se postopek preverjanja in način ugotavljanja izpolnjevanja pogojev za napredovanje </w:t>
      </w:r>
      <w:r w:rsidR="00BC6568">
        <w:lastRenderedPageBreak/>
        <w:t xml:space="preserve">v višji plačni razred </w:t>
      </w:r>
      <w:r w:rsidR="007D1C03">
        <w:t xml:space="preserve">sicer </w:t>
      </w:r>
      <w:r w:rsidR="00BC6568">
        <w:t>določi z akti iz tretjega do vključno petega odstavka 17. člena ZSPJS in se torej navedena uredba neposredno na podlagi zakona zanje ne uporablja</w:t>
      </w:r>
      <w:r w:rsidR="0038639E">
        <w:t xml:space="preserve">. </w:t>
      </w:r>
    </w:p>
    <w:p w14:paraId="323C302A" w14:textId="77777777" w:rsidR="0038639E" w:rsidRDefault="0038639E" w:rsidP="005A345D">
      <w:pPr>
        <w:jc w:val="both"/>
      </w:pPr>
    </w:p>
    <w:p w14:paraId="4E8B1705" w14:textId="6D4601F8" w:rsidR="00C10537" w:rsidRPr="00D80B8F" w:rsidRDefault="00C64A1A" w:rsidP="00C1053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Naslovnike prosimo, da s tem dopisom</w:t>
      </w:r>
      <w:r w:rsidR="00533991">
        <w:rPr>
          <w:rFonts w:cs="Arial"/>
          <w:szCs w:val="20"/>
        </w:rPr>
        <w:t xml:space="preserve"> ministrstva, pristojnega za sistem plač v javnem sektorju,  ki je posledica priporočila Zagovornika,</w:t>
      </w:r>
      <w:r>
        <w:rPr>
          <w:rFonts w:cs="Arial"/>
          <w:szCs w:val="20"/>
        </w:rPr>
        <w:t xml:space="preserve"> </w:t>
      </w:r>
      <w:r w:rsidR="00C10537" w:rsidRPr="00D80B8F">
        <w:rPr>
          <w:rFonts w:cs="Arial"/>
          <w:szCs w:val="20"/>
        </w:rPr>
        <w:t>seznanite proračunske uporabnike iz vaše pristojnosti.</w:t>
      </w:r>
    </w:p>
    <w:p w14:paraId="48FEE991" w14:textId="77777777" w:rsidR="00C10537" w:rsidRPr="00D80B8F" w:rsidRDefault="00C10537" w:rsidP="00C10537">
      <w:pPr>
        <w:jc w:val="both"/>
        <w:rPr>
          <w:rFonts w:cs="Arial"/>
          <w:szCs w:val="20"/>
        </w:rPr>
      </w:pPr>
    </w:p>
    <w:p w14:paraId="765335D7" w14:textId="77777777" w:rsidR="00C10537" w:rsidRPr="00D80B8F" w:rsidRDefault="00C10537" w:rsidP="00C10537">
      <w:pPr>
        <w:jc w:val="both"/>
        <w:rPr>
          <w:rFonts w:cs="Arial"/>
          <w:szCs w:val="20"/>
        </w:rPr>
      </w:pPr>
    </w:p>
    <w:p w14:paraId="714574F6" w14:textId="77777777" w:rsidR="00C10537" w:rsidRPr="00D80B8F" w:rsidRDefault="00C10537" w:rsidP="00C10537">
      <w:pPr>
        <w:jc w:val="both"/>
        <w:rPr>
          <w:rFonts w:cs="Arial"/>
          <w:szCs w:val="20"/>
        </w:rPr>
      </w:pPr>
      <w:r w:rsidRPr="00D80B8F">
        <w:rPr>
          <w:rFonts w:cs="Arial"/>
          <w:szCs w:val="20"/>
        </w:rPr>
        <w:t>Prijazen pozdrav,</w:t>
      </w:r>
    </w:p>
    <w:p w14:paraId="10A4E4F3" w14:textId="77777777" w:rsidR="00C10537" w:rsidRPr="00D80B8F" w:rsidRDefault="00C10537" w:rsidP="00C10537">
      <w:pPr>
        <w:spacing w:line="260" w:lineRule="exact"/>
        <w:jc w:val="both"/>
        <w:rPr>
          <w:rFonts w:cs="Arial"/>
          <w:szCs w:val="20"/>
        </w:rPr>
      </w:pPr>
    </w:p>
    <w:p w14:paraId="20F00131" w14:textId="77777777" w:rsidR="00C10537" w:rsidRPr="00D80B8F" w:rsidRDefault="00C10537" w:rsidP="00C10537">
      <w:pPr>
        <w:pStyle w:val="Telobesedila2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D80B8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</w:t>
      </w:r>
      <w:r w:rsidRPr="00D80B8F">
        <w:rPr>
          <w:rFonts w:ascii="Arial" w:hAnsi="Arial" w:cs="Arial"/>
          <w:sz w:val="20"/>
          <w:szCs w:val="20"/>
        </w:rPr>
        <w:t>Boštjan Koritnik</w:t>
      </w:r>
    </w:p>
    <w:p w14:paraId="326A7025" w14:textId="77777777" w:rsidR="00C10537" w:rsidRPr="00D80B8F" w:rsidRDefault="00C10537" w:rsidP="00C10537">
      <w:pPr>
        <w:spacing w:line="260" w:lineRule="exact"/>
        <w:jc w:val="both"/>
        <w:rPr>
          <w:rFonts w:cs="Arial"/>
          <w:szCs w:val="20"/>
        </w:rPr>
      </w:pPr>
      <w:r w:rsidRPr="00D80B8F">
        <w:rPr>
          <w:rFonts w:cs="Arial"/>
          <w:szCs w:val="20"/>
        </w:rPr>
        <w:t xml:space="preserve">                                                                                            minister</w:t>
      </w:r>
    </w:p>
    <w:p w14:paraId="385D0FE3" w14:textId="2CF98D32" w:rsidR="00C10537" w:rsidRDefault="00C10537" w:rsidP="00C10537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</w:p>
    <w:p w14:paraId="7CAA907A" w14:textId="77777777" w:rsidR="00993289" w:rsidRPr="00D80B8F" w:rsidRDefault="00993289" w:rsidP="00C10537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</w:p>
    <w:p w14:paraId="148AA248" w14:textId="77777777" w:rsidR="00C10537" w:rsidRPr="00D80B8F" w:rsidRDefault="00C10537" w:rsidP="00C10537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  <w:r w:rsidRPr="00D80B8F">
        <w:rPr>
          <w:rFonts w:cs="Arial"/>
          <w:szCs w:val="20"/>
          <w:lang w:val="sl-SI"/>
        </w:rPr>
        <w:t xml:space="preserve">Poslano: </w:t>
      </w:r>
    </w:p>
    <w:p w14:paraId="1EC69129" w14:textId="7129686C" w:rsidR="00C10537" w:rsidRDefault="00C10537" w:rsidP="00C10537">
      <w:pPr>
        <w:pStyle w:val="podpisi"/>
        <w:numPr>
          <w:ilvl w:val="0"/>
          <w:numId w:val="1"/>
        </w:numPr>
        <w:spacing w:line="260" w:lineRule="exact"/>
        <w:jc w:val="both"/>
        <w:rPr>
          <w:rFonts w:cs="Arial"/>
          <w:szCs w:val="20"/>
          <w:lang w:val="sl-SI"/>
        </w:rPr>
      </w:pPr>
      <w:r w:rsidRPr="00D80B8F">
        <w:rPr>
          <w:rFonts w:cs="Arial"/>
          <w:szCs w:val="20"/>
          <w:lang w:val="sl-SI"/>
        </w:rPr>
        <w:t>naslovnikom po elektronski pošt</w:t>
      </w:r>
      <w:r w:rsidR="00D72893" w:rsidRPr="00D80B8F">
        <w:rPr>
          <w:rFonts w:cs="Arial"/>
          <w:szCs w:val="20"/>
          <w:lang w:val="sl-SI"/>
        </w:rPr>
        <w:t>i</w:t>
      </w:r>
    </w:p>
    <w:p w14:paraId="5C97F975" w14:textId="250E344F" w:rsidR="00993289" w:rsidRPr="00D80B8F" w:rsidRDefault="00993289" w:rsidP="00993289">
      <w:pPr>
        <w:pStyle w:val="podpisi"/>
        <w:spacing w:line="260" w:lineRule="exact"/>
        <w:ind w:left="377"/>
        <w:jc w:val="both"/>
        <w:rPr>
          <w:rFonts w:cs="Arial"/>
          <w:szCs w:val="20"/>
          <w:lang w:val="sl-SI"/>
        </w:rPr>
      </w:pPr>
    </w:p>
    <w:sectPr w:rsidR="00993289" w:rsidRPr="00D80B8F" w:rsidSect="004204DE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2ACEA" w14:textId="77777777" w:rsidR="00BB735D" w:rsidRDefault="00BB735D">
      <w:pPr>
        <w:spacing w:line="240" w:lineRule="auto"/>
      </w:pPr>
      <w:r>
        <w:separator/>
      </w:r>
    </w:p>
  </w:endnote>
  <w:endnote w:type="continuationSeparator" w:id="0">
    <w:p w14:paraId="2A562E98" w14:textId="77777777" w:rsidR="00BB735D" w:rsidRDefault="00BB7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7345283"/>
      <w:docPartObj>
        <w:docPartGallery w:val="Page Numbers (Bottom of Page)"/>
        <w:docPartUnique/>
      </w:docPartObj>
    </w:sdtPr>
    <w:sdtEndPr/>
    <w:sdtContent>
      <w:p w14:paraId="4A7AF69A" w14:textId="6BE55704" w:rsidR="004204DE" w:rsidRDefault="004204D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5354EC" w14:textId="77777777" w:rsidR="004204DE" w:rsidRDefault="004204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38613" w14:textId="77777777" w:rsidR="00BB735D" w:rsidRDefault="00BB735D">
      <w:pPr>
        <w:spacing w:line="240" w:lineRule="auto"/>
      </w:pPr>
      <w:r>
        <w:separator/>
      </w:r>
    </w:p>
  </w:footnote>
  <w:footnote w:type="continuationSeparator" w:id="0">
    <w:p w14:paraId="1D1BE94B" w14:textId="77777777" w:rsidR="00BB735D" w:rsidRDefault="00BB7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B81D9" w14:textId="77777777" w:rsidR="004204DE" w:rsidRPr="00110CBD" w:rsidRDefault="004204DE" w:rsidP="004204D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4204DE" w:rsidRPr="00B8505D" w14:paraId="10673E68" w14:textId="77777777" w:rsidTr="004204DE">
      <w:trPr>
        <w:trHeight w:val="709"/>
      </w:trPr>
      <w:tc>
        <w:tcPr>
          <w:tcW w:w="657" w:type="dxa"/>
        </w:tcPr>
        <w:p w14:paraId="55B3E95A" w14:textId="57E76AE2" w:rsidR="004204DE" w:rsidRDefault="004204DE" w:rsidP="004204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0C05FAB3" wp14:editId="5C6F696F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20BF743" w14:textId="77777777" w:rsidR="004204DE" w:rsidRDefault="004204DE" w:rsidP="004204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5019AFD0" w14:textId="77777777" w:rsidR="004204DE" w:rsidRPr="008820DC" w:rsidRDefault="004204DE" w:rsidP="004204DE">
          <w:pPr>
            <w:autoSpaceDE w:val="0"/>
            <w:autoSpaceDN w:val="0"/>
            <w:adjustRightInd w:val="0"/>
            <w:spacing w:line="240" w:lineRule="auto"/>
            <w:ind w:left="102" w:hanging="45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047A9CC0" w14:textId="77777777" w:rsidR="004204DE" w:rsidRPr="000B427F" w:rsidRDefault="004204DE" w:rsidP="004204DE">
          <w:pPr>
            <w:autoSpaceDE w:val="0"/>
            <w:autoSpaceDN w:val="0"/>
            <w:adjustRightInd w:val="0"/>
            <w:spacing w:line="240" w:lineRule="auto"/>
            <w:ind w:left="102" w:hanging="45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</w:p>
        <w:p w14:paraId="6EDC3196" w14:textId="77777777" w:rsidR="004204DE" w:rsidRPr="00B8505D" w:rsidRDefault="004204DE" w:rsidP="004204DE">
          <w:pPr>
            <w:autoSpaceDE w:val="0"/>
            <w:autoSpaceDN w:val="0"/>
            <w:adjustRightInd w:val="0"/>
            <w:spacing w:line="240" w:lineRule="auto"/>
            <w:ind w:firstLine="93"/>
            <w:rPr>
              <w:rFonts w:ascii="Republika" w:hAnsi="Republika"/>
              <w:color w:val="529DBA"/>
              <w:sz w:val="16"/>
              <w:szCs w:val="16"/>
            </w:rPr>
          </w:pPr>
          <w:r>
            <w:rPr>
              <w:rFonts w:ascii="Republika" w:hAnsi="Republika" w:cs="Republika"/>
              <w:color w:val="000000" w:themeColor="text1"/>
              <w:szCs w:val="20"/>
            </w:rPr>
            <w:t xml:space="preserve">  </w:t>
          </w:r>
        </w:p>
      </w:tc>
    </w:tr>
  </w:tbl>
  <w:p w14:paraId="63D1D972" w14:textId="77777777" w:rsidR="004204DE" w:rsidRPr="008F3500" w:rsidRDefault="004204DE" w:rsidP="004204D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ind w:left="142" w:hanging="142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48FD710" w14:textId="77777777" w:rsidR="004204DE" w:rsidRPr="008F3500" w:rsidRDefault="004204DE" w:rsidP="004204D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01 478 83 31</w:t>
    </w:r>
  </w:p>
  <w:p w14:paraId="1D3A42D4" w14:textId="77777777" w:rsidR="004204DE" w:rsidRPr="008F3500" w:rsidRDefault="004204DE" w:rsidP="004204D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F227377" w14:textId="77777777" w:rsidR="004204DE" w:rsidRPr="008F3500" w:rsidRDefault="004204DE" w:rsidP="004204D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47B47BC4" w14:textId="77777777" w:rsidR="004204DE" w:rsidRDefault="004204DE" w:rsidP="004204D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49C2"/>
    <w:multiLevelType w:val="hybridMultilevel"/>
    <w:tmpl w:val="C8C496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F1A"/>
    <w:multiLevelType w:val="hybridMultilevel"/>
    <w:tmpl w:val="AB2A1E8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65A66"/>
    <w:multiLevelType w:val="hybridMultilevel"/>
    <w:tmpl w:val="2814FB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6A15"/>
    <w:multiLevelType w:val="hybridMultilevel"/>
    <w:tmpl w:val="FE3C027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9E4C086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E5BA5"/>
    <w:multiLevelType w:val="hybridMultilevel"/>
    <w:tmpl w:val="3FAE6D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FAE"/>
    <w:multiLevelType w:val="hybridMultilevel"/>
    <w:tmpl w:val="374CAA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6770"/>
    <w:multiLevelType w:val="hybridMultilevel"/>
    <w:tmpl w:val="453EC700"/>
    <w:lvl w:ilvl="0" w:tplc="1E4E06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787C45"/>
    <w:multiLevelType w:val="hybridMultilevel"/>
    <w:tmpl w:val="61E6315A"/>
    <w:lvl w:ilvl="0" w:tplc="CA0CBAA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066F"/>
    <w:multiLevelType w:val="hybridMultilevel"/>
    <w:tmpl w:val="F88A7D00"/>
    <w:lvl w:ilvl="0" w:tplc="4394F1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01B9"/>
    <w:multiLevelType w:val="hybridMultilevel"/>
    <w:tmpl w:val="63CCED38"/>
    <w:lvl w:ilvl="0" w:tplc="FC3E9828">
      <w:start w:val="5"/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8D047564">
      <w:start w:val="5"/>
      <w:numFmt w:val="bullet"/>
      <w:lvlText w:val="–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CC0202"/>
    <w:multiLevelType w:val="hybridMultilevel"/>
    <w:tmpl w:val="99062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047564">
      <w:start w:val="5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4426B5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6E26"/>
    <w:multiLevelType w:val="hybridMultilevel"/>
    <w:tmpl w:val="EC0AF8E6"/>
    <w:lvl w:ilvl="0" w:tplc="CA0CBAA6">
      <w:start w:val="1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9C251B"/>
    <w:multiLevelType w:val="hybridMultilevel"/>
    <w:tmpl w:val="8B3AB5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917FB"/>
    <w:multiLevelType w:val="hybridMultilevel"/>
    <w:tmpl w:val="79D2D77E"/>
    <w:lvl w:ilvl="0" w:tplc="CA0CBAA6">
      <w:start w:val="1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97C47"/>
    <w:multiLevelType w:val="hybridMultilevel"/>
    <w:tmpl w:val="087026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82716"/>
    <w:multiLevelType w:val="hybridMultilevel"/>
    <w:tmpl w:val="5544A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3A76"/>
    <w:multiLevelType w:val="hybridMultilevel"/>
    <w:tmpl w:val="31A4E5D2"/>
    <w:lvl w:ilvl="0" w:tplc="B2C01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6B15AB"/>
    <w:multiLevelType w:val="hybridMultilevel"/>
    <w:tmpl w:val="B17A36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03D7D"/>
    <w:multiLevelType w:val="hybridMultilevel"/>
    <w:tmpl w:val="AC7215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A09"/>
    <w:multiLevelType w:val="hybridMultilevel"/>
    <w:tmpl w:val="1BBEA5C8"/>
    <w:lvl w:ilvl="0" w:tplc="CA0CBAA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166B"/>
    <w:multiLevelType w:val="hybridMultilevel"/>
    <w:tmpl w:val="25BE3D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20"/>
  </w:num>
  <w:num w:numId="7">
    <w:abstractNumId w:val="14"/>
  </w:num>
  <w:num w:numId="8">
    <w:abstractNumId w:val="12"/>
  </w:num>
  <w:num w:numId="9">
    <w:abstractNumId w:val="8"/>
  </w:num>
  <w:num w:numId="10">
    <w:abstractNumId w:val="16"/>
  </w:num>
  <w:num w:numId="11">
    <w:abstractNumId w:val="2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3"/>
  </w:num>
  <w:num w:numId="18">
    <w:abstractNumId w:val="7"/>
  </w:num>
  <w:num w:numId="19">
    <w:abstractNumId w:val="21"/>
  </w:num>
  <w:num w:numId="20">
    <w:abstractNumId w:val="15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37"/>
    <w:rsid w:val="00006A12"/>
    <w:rsid w:val="00006EF3"/>
    <w:rsid w:val="00015469"/>
    <w:rsid w:val="000217B3"/>
    <w:rsid w:val="00026543"/>
    <w:rsid w:val="00027921"/>
    <w:rsid w:val="000A7811"/>
    <w:rsid w:val="000B369A"/>
    <w:rsid w:val="000D49E1"/>
    <w:rsid w:val="00143AF5"/>
    <w:rsid w:val="00186221"/>
    <w:rsid w:val="0019311E"/>
    <w:rsid w:val="001C7705"/>
    <w:rsid w:val="002324F2"/>
    <w:rsid w:val="00232906"/>
    <w:rsid w:val="00264A65"/>
    <w:rsid w:val="00270E72"/>
    <w:rsid w:val="002816A8"/>
    <w:rsid w:val="002E709B"/>
    <w:rsid w:val="002F0932"/>
    <w:rsid w:val="002F3199"/>
    <w:rsid w:val="00323D0C"/>
    <w:rsid w:val="00342D41"/>
    <w:rsid w:val="00355909"/>
    <w:rsid w:val="00373FB7"/>
    <w:rsid w:val="0038639E"/>
    <w:rsid w:val="003917DD"/>
    <w:rsid w:val="003B4EF6"/>
    <w:rsid w:val="00402CA0"/>
    <w:rsid w:val="00405D9C"/>
    <w:rsid w:val="004204DE"/>
    <w:rsid w:val="00431E10"/>
    <w:rsid w:val="0043340E"/>
    <w:rsid w:val="00453071"/>
    <w:rsid w:val="00465A30"/>
    <w:rsid w:val="0048235E"/>
    <w:rsid w:val="004B3270"/>
    <w:rsid w:val="00525CBB"/>
    <w:rsid w:val="00533991"/>
    <w:rsid w:val="00557164"/>
    <w:rsid w:val="00557647"/>
    <w:rsid w:val="005725BA"/>
    <w:rsid w:val="00583D90"/>
    <w:rsid w:val="005A1A71"/>
    <w:rsid w:val="005A345D"/>
    <w:rsid w:val="005D6369"/>
    <w:rsid w:val="00614173"/>
    <w:rsid w:val="00625AD6"/>
    <w:rsid w:val="006368A7"/>
    <w:rsid w:val="006426FE"/>
    <w:rsid w:val="006802C0"/>
    <w:rsid w:val="00686C4C"/>
    <w:rsid w:val="0069362C"/>
    <w:rsid w:val="00695EC9"/>
    <w:rsid w:val="00720BAC"/>
    <w:rsid w:val="007320EA"/>
    <w:rsid w:val="00793013"/>
    <w:rsid w:val="007A7984"/>
    <w:rsid w:val="007D1C03"/>
    <w:rsid w:val="007D4D36"/>
    <w:rsid w:val="007E2000"/>
    <w:rsid w:val="007E23D0"/>
    <w:rsid w:val="007F48A8"/>
    <w:rsid w:val="00834211"/>
    <w:rsid w:val="00834246"/>
    <w:rsid w:val="008364DB"/>
    <w:rsid w:val="00840EB5"/>
    <w:rsid w:val="00846056"/>
    <w:rsid w:val="00846063"/>
    <w:rsid w:val="00891BD4"/>
    <w:rsid w:val="008E6745"/>
    <w:rsid w:val="00915A3D"/>
    <w:rsid w:val="00917EBC"/>
    <w:rsid w:val="00923C00"/>
    <w:rsid w:val="009523D7"/>
    <w:rsid w:val="00962C1F"/>
    <w:rsid w:val="00975AEF"/>
    <w:rsid w:val="00981F85"/>
    <w:rsid w:val="00983AB0"/>
    <w:rsid w:val="00984B2B"/>
    <w:rsid w:val="00993289"/>
    <w:rsid w:val="00994E36"/>
    <w:rsid w:val="00A01213"/>
    <w:rsid w:val="00A0549F"/>
    <w:rsid w:val="00A15D5F"/>
    <w:rsid w:val="00A20187"/>
    <w:rsid w:val="00A364E2"/>
    <w:rsid w:val="00A403AF"/>
    <w:rsid w:val="00A41A7E"/>
    <w:rsid w:val="00A52BD9"/>
    <w:rsid w:val="00A62956"/>
    <w:rsid w:val="00A73405"/>
    <w:rsid w:val="00A84890"/>
    <w:rsid w:val="00A92FB7"/>
    <w:rsid w:val="00AF292A"/>
    <w:rsid w:val="00AF5C5B"/>
    <w:rsid w:val="00B035B8"/>
    <w:rsid w:val="00B03863"/>
    <w:rsid w:val="00B1660C"/>
    <w:rsid w:val="00B36A28"/>
    <w:rsid w:val="00B444CE"/>
    <w:rsid w:val="00B7106C"/>
    <w:rsid w:val="00B83FDE"/>
    <w:rsid w:val="00BA2FC2"/>
    <w:rsid w:val="00BB13FC"/>
    <w:rsid w:val="00BB735D"/>
    <w:rsid w:val="00BC6568"/>
    <w:rsid w:val="00BE0750"/>
    <w:rsid w:val="00BE3EB9"/>
    <w:rsid w:val="00BF15F4"/>
    <w:rsid w:val="00BF1BC0"/>
    <w:rsid w:val="00C10537"/>
    <w:rsid w:val="00C33355"/>
    <w:rsid w:val="00C35E19"/>
    <w:rsid w:val="00C56426"/>
    <w:rsid w:val="00C62B35"/>
    <w:rsid w:val="00C64A1A"/>
    <w:rsid w:val="00CB4AA9"/>
    <w:rsid w:val="00D14627"/>
    <w:rsid w:val="00D20F4A"/>
    <w:rsid w:val="00D712E0"/>
    <w:rsid w:val="00D72893"/>
    <w:rsid w:val="00D805AE"/>
    <w:rsid w:val="00D80B8F"/>
    <w:rsid w:val="00DA4107"/>
    <w:rsid w:val="00DF2C0D"/>
    <w:rsid w:val="00E00AC3"/>
    <w:rsid w:val="00E33379"/>
    <w:rsid w:val="00E64C4B"/>
    <w:rsid w:val="00E679B7"/>
    <w:rsid w:val="00E721E1"/>
    <w:rsid w:val="00E8189B"/>
    <w:rsid w:val="00EA18EB"/>
    <w:rsid w:val="00EC6566"/>
    <w:rsid w:val="00ED6403"/>
    <w:rsid w:val="00EF228B"/>
    <w:rsid w:val="00F22B32"/>
    <w:rsid w:val="00F40009"/>
    <w:rsid w:val="00F81188"/>
    <w:rsid w:val="00F8274B"/>
    <w:rsid w:val="00F95AFD"/>
    <w:rsid w:val="00FA3533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4E2C"/>
  <w15:chartTrackingRefBased/>
  <w15:docId w15:val="{131A3527-4ECD-4A64-B471-D09C625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0537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link w:val="Naslov2Znak"/>
    <w:uiPriority w:val="9"/>
    <w:qFormat/>
    <w:rsid w:val="00BF15F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1053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10537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C10537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C10537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C10537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C105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C1053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0537"/>
    <w:rPr>
      <w:rFonts w:ascii="Arial" w:eastAsia="Times New Roman" w:hAnsi="Arial" w:cs="Times New Roman"/>
      <w:sz w:val="20"/>
      <w:szCs w:val="24"/>
    </w:rPr>
  </w:style>
  <w:style w:type="table" w:styleId="Tabelamrea">
    <w:name w:val="Table Grid"/>
    <w:basedOn w:val="Navadnatabela"/>
    <w:uiPriority w:val="59"/>
    <w:rsid w:val="00C1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C10537"/>
    <w:pPr>
      <w:ind w:left="720"/>
      <w:contextualSpacing/>
    </w:p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C10537"/>
    <w:rPr>
      <w:rFonts w:ascii="Arial" w:eastAsia="Times New Roman" w:hAnsi="Arial" w:cs="Times New Roman"/>
      <w:sz w:val="20"/>
      <w:szCs w:val="24"/>
    </w:rPr>
  </w:style>
  <w:style w:type="paragraph" w:customStyle="1" w:styleId="Naslovpredpisa">
    <w:name w:val="Naslov_predpisa"/>
    <w:basedOn w:val="Navaden"/>
    <w:link w:val="NaslovpredpisaZnak"/>
    <w:qFormat/>
    <w:rsid w:val="00C10537"/>
    <w:pPr>
      <w:suppressAutoHyphens/>
      <w:overflowPunct w:val="0"/>
      <w:autoSpaceDE w:val="0"/>
      <w:autoSpaceDN w:val="0"/>
      <w:adjustRightInd w:val="0"/>
      <w:spacing w:before="120" w:line="200" w:lineRule="exact"/>
      <w:ind w:left="357" w:hanging="357"/>
      <w:jc w:val="center"/>
      <w:textAlignment w:val="baseline"/>
    </w:pPr>
    <w:rPr>
      <w:b/>
      <w:sz w:val="22"/>
      <w:szCs w:val="22"/>
      <w:lang w:val="en-US"/>
    </w:rPr>
  </w:style>
  <w:style w:type="character" w:customStyle="1" w:styleId="NaslovpredpisaZnak">
    <w:name w:val="Naslov_predpisa Znak"/>
    <w:link w:val="Naslovpredpisa"/>
    <w:rsid w:val="00C10537"/>
    <w:rPr>
      <w:rFonts w:ascii="Arial" w:eastAsia="Times New Roman" w:hAnsi="Arial" w:cs="Times New Roman"/>
      <w:b/>
      <w:lang w:val="en-US"/>
    </w:rPr>
  </w:style>
  <w:style w:type="character" w:styleId="Hiperpovezava">
    <w:name w:val="Hyperlink"/>
    <w:basedOn w:val="Privzetapisavaodstavka"/>
    <w:uiPriority w:val="99"/>
    <w:unhideWhenUsed/>
    <w:rsid w:val="00EC6566"/>
    <w:rPr>
      <w:color w:val="0000FF"/>
      <w:u w:val="single"/>
    </w:rPr>
  </w:style>
  <w:style w:type="character" w:customStyle="1" w:styleId="centercontrol">
    <w:name w:val="centercontrol"/>
    <w:basedOn w:val="Privzetapisavaodstavka"/>
    <w:rsid w:val="00EC65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3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6369"/>
    <w:rPr>
      <w:rFonts w:ascii="Segoe UI" w:eastAsia="Times New Roman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BF15F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highlight">
    <w:name w:val="highlight"/>
    <w:basedOn w:val="Privzetapisavaodstavka"/>
    <w:rsid w:val="00E64C4B"/>
  </w:style>
  <w:style w:type="character" w:styleId="Nerazreenaomemba">
    <w:name w:val="Unresolved Mention"/>
    <w:basedOn w:val="Privzetapisavaodstavka"/>
    <w:uiPriority w:val="99"/>
    <w:semiHidden/>
    <w:unhideWhenUsed/>
    <w:rsid w:val="00AF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039">
          <w:marLeft w:val="0"/>
          <w:marRight w:val="0"/>
          <w:marTop w:val="300"/>
          <w:marBottom w:val="0"/>
          <w:divBdr>
            <w:top w:val="single" w:sz="6" w:space="4" w:color="E0DEDE"/>
            <w:left w:val="none" w:sz="0" w:space="0" w:color="E0DEDE"/>
            <w:bottom w:val="single" w:sz="6" w:space="4" w:color="E0DEDE"/>
            <w:right w:val="none" w:sz="0" w:space="0" w:color="E0DEDE"/>
          </w:divBdr>
          <w:divsChild>
            <w:div w:id="7456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govornik.si/diskriminacija-javne-usluzbenke-na-porodniski-pri-dodelitvi-letne-ocene-de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Pojasnilo - napredovanje, metodologija</vt:lpstr>
    </vt:vector>
  </TitlesOfParts>
  <Company>MJU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Pojasnilo - napredovanje, metodologija</dc:title>
  <dc:subject/>
  <dc:creator>Nina Štefe</dc:creator>
  <cp:keywords/>
  <dc:description/>
  <cp:lastModifiedBy>Nastja Brelih</cp:lastModifiedBy>
  <cp:revision>3</cp:revision>
  <cp:lastPrinted>2021-06-21T08:12:00Z</cp:lastPrinted>
  <dcterms:created xsi:type="dcterms:W3CDTF">2021-08-09T12:52:00Z</dcterms:created>
  <dcterms:modified xsi:type="dcterms:W3CDTF">2021-08-09T12:53:00Z</dcterms:modified>
</cp:coreProperties>
</file>