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60" w:rsidRPr="005C3960" w:rsidRDefault="00FD3200" w:rsidP="005C3960">
      <w:pPr>
        <w:jc w:val="both"/>
        <w:rPr>
          <w:rFonts w:asciiTheme="minorHAnsi" w:hAnsiTheme="minorHAnsi" w:cstheme="minorHAnsi"/>
          <w:sz w:val="20"/>
          <w:lang w:val="sl-SI"/>
        </w:rPr>
      </w:pPr>
      <w:bookmarkStart w:id="0" w:name="_GoBack"/>
      <w:bookmarkEnd w:id="0"/>
      <w:r w:rsidRPr="008257B2">
        <w:rPr>
          <w:rFonts w:asciiTheme="minorHAnsi" w:hAnsiTheme="minorHAnsi" w:cstheme="minorHAnsi"/>
          <w:sz w:val="20"/>
          <w:lang w:val="sl-SI"/>
        </w:rPr>
        <w:t xml:space="preserve">Št.zadeve: </w:t>
      </w:r>
      <w:r w:rsidR="005C3960" w:rsidRPr="005C3960">
        <w:rPr>
          <w:rFonts w:asciiTheme="minorHAnsi" w:hAnsiTheme="minorHAnsi" w:cstheme="minorHAnsi"/>
          <w:sz w:val="20"/>
          <w:lang w:val="sl-SI"/>
        </w:rPr>
        <w:t>35400-470/2021-2550</w:t>
      </w: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 xml:space="preserve">Datum: </w:t>
      </w:r>
      <w:r w:rsidR="005C3960">
        <w:rPr>
          <w:rFonts w:asciiTheme="minorHAnsi" w:hAnsiTheme="minorHAnsi" w:cstheme="minorHAnsi"/>
          <w:sz w:val="20"/>
          <w:lang w:val="sl-SI"/>
        </w:rPr>
        <w:t>3. 11. 2021</w:t>
      </w: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C9737F">
      <w:pPr>
        <w:pStyle w:val="Brezrazmikov"/>
        <w:jc w:val="center"/>
        <w:rPr>
          <w:rFonts w:asciiTheme="minorHAnsi" w:hAnsiTheme="minorHAnsi" w:cstheme="minorHAnsi"/>
          <w:sz w:val="20"/>
          <w:szCs w:val="20"/>
        </w:rPr>
      </w:pPr>
      <w:r w:rsidRPr="008257B2">
        <w:rPr>
          <w:rFonts w:asciiTheme="minorHAnsi" w:hAnsiTheme="minorHAnsi" w:cstheme="minorHAnsi"/>
          <w:sz w:val="20"/>
          <w:szCs w:val="20"/>
        </w:rPr>
        <w:t>Ministrstvo za okolje in prostor, Dunajska 48, 1000 LJUBLJANA, objavlja</w:t>
      </w:r>
    </w:p>
    <w:p w:rsidR="00FD3200" w:rsidRPr="008257B2" w:rsidRDefault="00FD3200" w:rsidP="00C9737F">
      <w:pPr>
        <w:jc w:val="center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C9737F">
      <w:pPr>
        <w:jc w:val="center"/>
        <w:rPr>
          <w:rFonts w:asciiTheme="minorHAnsi" w:hAnsiTheme="minorHAnsi" w:cstheme="minorHAnsi"/>
          <w:b/>
          <w:sz w:val="20"/>
          <w:lang w:val="sl-SI"/>
        </w:rPr>
      </w:pPr>
      <w:r w:rsidRPr="008257B2">
        <w:rPr>
          <w:rFonts w:asciiTheme="minorHAnsi" w:hAnsiTheme="minorHAnsi" w:cstheme="minorHAnsi"/>
          <w:b/>
          <w:sz w:val="20"/>
          <w:lang w:val="sl-SI"/>
        </w:rPr>
        <w:t>NAJAVO JAVN</w:t>
      </w:r>
      <w:r w:rsidR="00335BD9">
        <w:rPr>
          <w:rFonts w:asciiTheme="minorHAnsi" w:hAnsiTheme="minorHAnsi" w:cstheme="minorHAnsi"/>
          <w:b/>
          <w:sz w:val="20"/>
          <w:lang w:val="sl-SI"/>
        </w:rPr>
        <w:t>IH</w:t>
      </w:r>
      <w:r w:rsidRPr="008257B2">
        <w:rPr>
          <w:rFonts w:asciiTheme="minorHAnsi" w:hAnsiTheme="minorHAnsi" w:cstheme="minorHAnsi"/>
          <w:b/>
          <w:sz w:val="20"/>
          <w:lang w:val="sl-SI"/>
        </w:rPr>
        <w:t xml:space="preserve"> RAZPIS</w:t>
      </w:r>
      <w:r w:rsidR="00335BD9">
        <w:rPr>
          <w:rFonts w:asciiTheme="minorHAnsi" w:hAnsiTheme="minorHAnsi" w:cstheme="minorHAnsi"/>
          <w:b/>
          <w:sz w:val="20"/>
          <w:lang w:val="sl-SI"/>
        </w:rPr>
        <w:t>OV</w:t>
      </w:r>
      <w:r w:rsidRPr="008257B2">
        <w:rPr>
          <w:rFonts w:asciiTheme="minorHAnsi" w:hAnsiTheme="minorHAnsi" w:cstheme="minorHAnsi"/>
          <w:b/>
          <w:sz w:val="20"/>
          <w:lang w:val="sl-SI"/>
        </w:rPr>
        <w:t xml:space="preserve"> ZA DODELITEV SPODBUD ZA IZGRADNJO</w:t>
      </w:r>
    </w:p>
    <w:p w:rsidR="00FD3200" w:rsidRPr="008257B2" w:rsidRDefault="00FD3200" w:rsidP="00C9737F">
      <w:pPr>
        <w:jc w:val="center"/>
        <w:rPr>
          <w:rFonts w:asciiTheme="minorHAnsi" w:hAnsiTheme="minorHAnsi" w:cstheme="minorHAnsi"/>
          <w:b/>
          <w:sz w:val="20"/>
          <w:lang w:val="sl-SI"/>
        </w:rPr>
      </w:pPr>
      <w:r w:rsidRPr="008257B2">
        <w:rPr>
          <w:rFonts w:asciiTheme="minorHAnsi" w:hAnsiTheme="minorHAnsi" w:cstheme="minorHAnsi"/>
          <w:b/>
          <w:sz w:val="20"/>
          <w:lang w:val="sl-SI"/>
        </w:rPr>
        <w:t>USTREZNE OKOLJSKE LOKALNE GOSPODARSKE</w:t>
      </w:r>
      <w:r w:rsidR="00335BD9">
        <w:rPr>
          <w:rFonts w:asciiTheme="minorHAnsi" w:hAnsiTheme="minorHAnsi" w:cstheme="minorHAnsi"/>
          <w:b/>
          <w:sz w:val="20"/>
          <w:lang w:val="sl-SI"/>
        </w:rPr>
        <w:t xml:space="preserve"> JAVNE</w:t>
      </w:r>
      <w:r w:rsidRPr="008257B2">
        <w:rPr>
          <w:rFonts w:asciiTheme="minorHAnsi" w:hAnsiTheme="minorHAnsi" w:cstheme="minorHAnsi"/>
          <w:b/>
          <w:sz w:val="20"/>
          <w:lang w:val="sl-SI"/>
        </w:rPr>
        <w:t xml:space="preserve"> INFRASTRUKTURE</w:t>
      </w: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pStyle w:val="Telobesedila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257B2">
        <w:rPr>
          <w:rFonts w:asciiTheme="minorHAnsi" w:hAnsiTheme="minorHAnsi" w:cstheme="minorHAnsi"/>
          <w:sz w:val="20"/>
          <w:szCs w:val="20"/>
          <w:u w:val="single"/>
        </w:rPr>
        <w:t>Cilj najave javnega razpisa je predhodno obvestiti lokalne skupnosti o načrtovani izvedbi javn</w:t>
      </w:r>
      <w:r w:rsidR="00335BD9">
        <w:rPr>
          <w:rFonts w:asciiTheme="minorHAnsi" w:hAnsiTheme="minorHAnsi" w:cstheme="minorHAnsi"/>
          <w:sz w:val="20"/>
          <w:szCs w:val="20"/>
          <w:u w:val="single"/>
        </w:rPr>
        <w:t>ih</w:t>
      </w:r>
      <w:r w:rsidRPr="008257B2">
        <w:rPr>
          <w:rFonts w:asciiTheme="minorHAnsi" w:hAnsiTheme="minorHAnsi" w:cstheme="minorHAnsi"/>
          <w:sz w:val="20"/>
          <w:szCs w:val="20"/>
          <w:u w:val="single"/>
        </w:rPr>
        <w:t xml:space="preserve"> razpis</w:t>
      </w:r>
      <w:r w:rsidR="00335BD9">
        <w:rPr>
          <w:rFonts w:asciiTheme="minorHAnsi" w:hAnsiTheme="minorHAnsi" w:cstheme="minorHAnsi"/>
          <w:sz w:val="20"/>
          <w:szCs w:val="20"/>
          <w:u w:val="single"/>
        </w:rPr>
        <w:t>ov</w:t>
      </w:r>
      <w:r w:rsidRPr="008257B2">
        <w:rPr>
          <w:rFonts w:asciiTheme="minorHAnsi" w:hAnsiTheme="minorHAnsi" w:cstheme="minorHAnsi"/>
          <w:sz w:val="20"/>
          <w:szCs w:val="20"/>
          <w:u w:val="single"/>
        </w:rPr>
        <w:t xml:space="preserve"> s katerim</w:t>
      </w:r>
      <w:r w:rsidR="00335BD9"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8257B2">
        <w:rPr>
          <w:rFonts w:asciiTheme="minorHAnsi" w:hAnsiTheme="minorHAnsi" w:cstheme="minorHAnsi"/>
          <w:sz w:val="20"/>
          <w:szCs w:val="20"/>
          <w:u w:val="single"/>
        </w:rPr>
        <w:t xml:space="preserve"> želi ministrstvo prispevati k zagotavljanju zdravega življenjskega okolja, preprečevanju in zmanjševanju posledic na področj</w:t>
      </w:r>
      <w:r w:rsidR="009C073C" w:rsidRPr="008257B2">
        <w:rPr>
          <w:rFonts w:asciiTheme="minorHAnsi" w:hAnsiTheme="minorHAnsi" w:cstheme="minorHAnsi"/>
          <w:sz w:val="20"/>
          <w:szCs w:val="20"/>
          <w:u w:val="single"/>
        </w:rPr>
        <w:t>ih</w:t>
      </w:r>
      <w:r w:rsidRPr="008257B2">
        <w:rPr>
          <w:rFonts w:asciiTheme="minorHAnsi" w:hAnsiTheme="minorHAnsi" w:cstheme="minorHAnsi"/>
          <w:sz w:val="20"/>
          <w:szCs w:val="20"/>
          <w:u w:val="single"/>
        </w:rPr>
        <w:t>, ki ogrožajo trajnostni razvoj in nadaljevati z naložbami v okoljsko infrastrukturo</w:t>
      </w:r>
      <w:r w:rsidR="009C073C" w:rsidRPr="008257B2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8257B2">
        <w:rPr>
          <w:rFonts w:asciiTheme="minorHAnsi" w:hAnsiTheme="minorHAnsi" w:cstheme="minorHAnsi"/>
          <w:sz w:val="20"/>
          <w:szCs w:val="20"/>
          <w:u w:val="single"/>
        </w:rPr>
        <w:t xml:space="preserve"> da Slovenija na poti trajnostne rasti doseže ustrezni nivo javnih naložb na področju odvajanja in čiščenja komunalne odpadne vode in </w:t>
      </w:r>
      <w:r w:rsidR="009C073C" w:rsidRPr="008257B2">
        <w:rPr>
          <w:rFonts w:asciiTheme="minorHAnsi" w:hAnsiTheme="minorHAnsi" w:cstheme="minorHAnsi"/>
          <w:sz w:val="20"/>
          <w:szCs w:val="20"/>
          <w:u w:val="single"/>
        </w:rPr>
        <w:t xml:space="preserve">področju </w:t>
      </w:r>
      <w:r w:rsidRPr="008257B2">
        <w:rPr>
          <w:rFonts w:asciiTheme="minorHAnsi" w:hAnsiTheme="minorHAnsi" w:cstheme="minorHAnsi"/>
          <w:sz w:val="20"/>
          <w:szCs w:val="20"/>
          <w:u w:val="single"/>
        </w:rPr>
        <w:t xml:space="preserve">oskrbe s pitno vodo. </w:t>
      </w:r>
    </w:p>
    <w:p w:rsidR="00753BE9" w:rsidRPr="008257B2" w:rsidRDefault="00753BE9" w:rsidP="009C073C">
      <w:pPr>
        <w:pStyle w:val="Telobesedila3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FD3200" w:rsidRPr="008257B2" w:rsidRDefault="00FD3200" w:rsidP="009C073C">
      <w:pPr>
        <w:pStyle w:val="Telobesedil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257B2">
        <w:rPr>
          <w:rFonts w:asciiTheme="minorHAnsi" w:hAnsiTheme="minorHAnsi" w:cstheme="minorHAnsi"/>
          <w:b/>
          <w:sz w:val="20"/>
          <w:szCs w:val="20"/>
        </w:rPr>
        <w:t xml:space="preserve">PREDVIDENA OBJAVA </w:t>
      </w:r>
    </w:p>
    <w:p w:rsidR="00E107A0" w:rsidRPr="008257B2" w:rsidRDefault="00E107A0" w:rsidP="009C073C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V Slovenskem Načrtu za okrevanje in odpornost (v nadaljevanju načrt ali NOO), ki je bil potrjen s strani Evropske komisije (v nadaljevanju EK), so predvideni tudi projekti lokalnih skupnosti na področju odvajanja in č</w:t>
      </w:r>
      <w:r w:rsidR="00335BD9">
        <w:rPr>
          <w:rFonts w:asciiTheme="minorHAnsi" w:hAnsiTheme="minorHAnsi" w:cstheme="minorHAnsi"/>
          <w:sz w:val="20"/>
          <w:lang w:val="sl-SI"/>
        </w:rPr>
        <w:t>iščenja komunalnih odpadnih vod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="001F6AA8">
        <w:rPr>
          <w:rFonts w:asciiTheme="minorHAnsi" w:hAnsiTheme="minorHAnsi" w:cstheme="minorHAnsi"/>
          <w:sz w:val="20"/>
          <w:lang w:val="sl-SI"/>
        </w:rPr>
        <w:t xml:space="preserve">za aglomeracije pod 2000 PE 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in </w:t>
      </w:r>
      <w:r w:rsidR="001F6AA8">
        <w:rPr>
          <w:rFonts w:asciiTheme="minorHAnsi" w:hAnsiTheme="minorHAnsi" w:cstheme="minorHAnsi"/>
          <w:sz w:val="20"/>
          <w:lang w:val="sl-SI"/>
        </w:rPr>
        <w:t xml:space="preserve">sisteme </w:t>
      </w:r>
      <w:r w:rsidRPr="008257B2">
        <w:rPr>
          <w:rFonts w:asciiTheme="minorHAnsi" w:hAnsiTheme="minorHAnsi" w:cstheme="minorHAnsi"/>
          <w:sz w:val="20"/>
          <w:lang w:val="sl-SI"/>
        </w:rPr>
        <w:t>oskrbe s pitno vodo</w:t>
      </w:r>
      <w:r w:rsidR="001F6AA8">
        <w:rPr>
          <w:rFonts w:asciiTheme="minorHAnsi" w:hAnsiTheme="minorHAnsi" w:cstheme="minorHAnsi"/>
          <w:sz w:val="20"/>
          <w:lang w:val="sl-SI"/>
        </w:rPr>
        <w:t xml:space="preserve"> za manj kot 10000 prebivalcev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. Ministrstvo za okolje in prostor (v nadaljevanju MOP) je v NOO vključilo investicije v </w:t>
      </w:r>
      <w:r w:rsidR="001F6AA8">
        <w:rPr>
          <w:rFonts w:asciiTheme="minorHAnsi" w:hAnsiTheme="minorHAnsi" w:cstheme="minorHAnsi"/>
          <w:sz w:val="20"/>
          <w:lang w:val="sl-SI"/>
        </w:rPr>
        <w:t xml:space="preserve">izgradnjo energetsko učinkovitih sistemov </w:t>
      </w:r>
      <w:r w:rsidRPr="008257B2">
        <w:rPr>
          <w:rFonts w:asciiTheme="minorHAnsi" w:hAnsiTheme="minorHAnsi" w:cstheme="minorHAnsi"/>
          <w:sz w:val="20"/>
          <w:lang w:val="sl-SI"/>
        </w:rPr>
        <w:t>odvajanje in čiščenje komunalnih odpadnih vod</w:t>
      </w:r>
      <w:r w:rsidR="001F6AA8">
        <w:rPr>
          <w:rFonts w:asciiTheme="minorHAnsi" w:hAnsiTheme="minorHAnsi" w:cstheme="minorHAnsi"/>
          <w:sz w:val="20"/>
          <w:lang w:val="sl-SI"/>
        </w:rPr>
        <w:t xml:space="preserve"> za aglomeracije manjše od 2000 PE in investicije v energetsko učinkovite sisteme oskrbe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s pitno vodo</w:t>
      </w:r>
      <w:r w:rsidR="001F6AA8">
        <w:rPr>
          <w:rFonts w:asciiTheme="minorHAnsi" w:hAnsiTheme="minorHAnsi" w:cstheme="minorHAnsi"/>
          <w:sz w:val="20"/>
          <w:lang w:val="sl-SI"/>
        </w:rPr>
        <w:t xml:space="preserve"> za manj kot 10000 prebivalcev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. </w:t>
      </w:r>
    </w:p>
    <w:p w:rsidR="00E107A0" w:rsidRPr="008257B2" w:rsidRDefault="00E107A0" w:rsidP="009C073C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lang w:val="sl-SI"/>
        </w:rPr>
      </w:pPr>
    </w:p>
    <w:p w:rsidR="00335BD9" w:rsidRDefault="009C073C" w:rsidP="00335BD9">
      <w:pPr>
        <w:pStyle w:val="Text1"/>
        <w:ind w:left="0"/>
        <w:rPr>
          <w:rFonts w:asciiTheme="minorHAnsi" w:eastAsia="Times New Roman" w:hAnsiTheme="minorHAnsi" w:cstheme="minorHAnsi"/>
          <w:sz w:val="20"/>
        </w:rPr>
      </w:pPr>
      <w:r w:rsidRPr="00335BD9">
        <w:rPr>
          <w:rFonts w:asciiTheme="minorHAnsi" w:eastAsia="Times New Roman" w:hAnsiTheme="minorHAnsi" w:cstheme="minorHAnsi"/>
          <w:sz w:val="20"/>
        </w:rPr>
        <w:t>Z javnim</w:t>
      </w:r>
      <w:r w:rsidR="00335BD9" w:rsidRPr="00335BD9">
        <w:rPr>
          <w:rFonts w:asciiTheme="minorHAnsi" w:eastAsia="Times New Roman" w:hAnsiTheme="minorHAnsi" w:cstheme="minorHAnsi"/>
          <w:sz w:val="20"/>
        </w:rPr>
        <w:t>a</w:t>
      </w:r>
      <w:r w:rsidRPr="00335BD9">
        <w:rPr>
          <w:rFonts w:asciiTheme="minorHAnsi" w:eastAsia="Times New Roman" w:hAnsiTheme="minorHAnsi" w:cstheme="minorHAnsi"/>
          <w:sz w:val="20"/>
        </w:rPr>
        <w:t xml:space="preserve"> razpisom</w:t>
      </w:r>
      <w:r w:rsidR="00335BD9" w:rsidRPr="00335BD9">
        <w:rPr>
          <w:rFonts w:asciiTheme="minorHAnsi" w:eastAsia="Times New Roman" w:hAnsiTheme="minorHAnsi" w:cstheme="minorHAnsi"/>
          <w:sz w:val="20"/>
        </w:rPr>
        <w:t>a</w:t>
      </w:r>
      <w:r w:rsidRPr="00335BD9">
        <w:rPr>
          <w:rFonts w:asciiTheme="minorHAnsi" w:eastAsia="Times New Roman" w:hAnsiTheme="minorHAnsi" w:cstheme="minorHAnsi"/>
          <w:sz w:val="20"/>
        </w:rPr>
        <w:t xml:space="preserve"> se bo sofinanciralo</w:t>
      </w:r>
      <w:r w:rsidR="00335BD9">
        <w:rPr>
          <w:rFonts w:asciiTheme="minorHAnsi" w:eastAsia="Times New Roman" w:hAnsiTheme="minorHAnsi" w:cstheme="minorHAnsi"/>
          <w:sz w:val="20"/>
        </w:rPr>
        <w:t>:</w:t>
      </w:r>
    </w:p>
    <w:p w:rsidR="005D37F5" w:rsidRDefault="005D37F5" w:rsidP="005D37F5">
      <w:pPr>
        <w:pStyle w:val="Text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</w:rPr>
      </w:pPr>
      <w:r w:rsidRPr="00335BD9">
        <w:rPr>
          <w:rFonts w:asciiTheme="minorHAnsi" w:eastAsia="Times New Roman" w:hAnsiTheme="minorHAnsi" w:cstheme="minorHAnsi"/>
          <w:sz w:val="20"/>
        </w:rPr>
        <w:t xml:space="preserve">investicije v </w:t>
      </w:r>
      <w:r>
        <w:rPr>
          <w:rFonts w:asciiTheme="minorHAnsi" w:eastAsia="Times New Roman" w:hAnsiTheme="minorHAnsi" w:cstheme="minorHAnsi"/>
          <w:sz w:val="20"/>
        </w:rPr>
        <w:t>iz</w:t>
      </w:r>
      <w:r w:rsidRPr="00335BD9">
        <w:rPr>
          <w:rFonts w:asciiTheme="minorHAnsi" w:eastAsia="Times New Roman" w:hAnsiTheme="minorHAnsi" w:cstheme="minorHAnsi"/>
          <w:sz w:val="20"/>
        </w:rPr>
        <w:t>gradnjo energetsko učinkovitih sistemov komunalnih odpadnih vod</w:t>
      </w:r>
      <w:r>
        <w:rPr>
          <w:rFonts w:asciiTheme="minorHAnsi" w:eastAsia="Times New Roman" w:hAnsiTheme="minorHAnsi" w:cstheme="minorHAnsi"/>
          <w:sz w:val="20"/>
        </w:rPr>
        <w:t xml:space="preserve"> za aglomeracije manjše od 2000 PE. </w:t>
      </w:r>
      <w:r w:rsidRPr="00335BD9">
        <w:rPr>
          <w:rFonts w:asciiTheme="minorHAnsi" w:eastAsia="Times New Roman" w:hAnsiTheme="minorHAnsi" w:cstheme="minorHAnsi"/>
          <w:sz w:val="20"/>
        </w:rPr>
        <w:t xml:space="preserve">Naložbe bodo predvidoma prednostno namenjene projektom v sisteme odpadne vode </w:t>
      </w:r>
      <w:r>
        <w:rPr>
          <w:rFonts w:asciiTheme="minorHAnsi" w:eastAsia="Times New Roman" w:hAnsiTheme="minorHAnsi" w:cstheme="minorHAnsi"/>
          <w:sz w:val="20"/>
        </w:rPr>
        <w:t>na območjih Natura 2000 in vodovarstvenih območjih</w:t>
      </w:r>
      <w:r w:rsidRPr="00335BD9">
        <w:rPr>
          <w:rFonts w:asciiTheme="minorHAnsi" w:eastAsia="Times New Roman" w:hAnsiTheme="minorHAnsi" w:cstheme="minorHAnsi"/>
          <w:sz w:val="20"/>
        </w:rPr>
        <w:t>.</w:t>
      </w:r>
    </w:p>
    <w:p w:rsidR="00335BD9" w:rsidRDefault="00335BD9" w:rsidP="005D37F5">
      <w:pPr>
        <w:pStyle w:val="Text1"/>
        <w:numPr>
          <w:ilvl w:val="0"/>
          <w:numId w:val="13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investicije </w:t>
      </w:r>
      <w:r w:rsidR="00E107A0" w:rsidRPr="008257B2">
        <w:rPr>
          <w:rFonts w:asciiTheme="minorHAnsi" w:hAnsiTheme="minorHAnsi" w:cstheme="minorHAnsi"/>
          <w:sz w:val="20"/>
        </w:rPr>
        <w:t xml:space="preserve">v </w:t>
      </w:r>
      <w:r w:rsidR="001F6AA8">
        <w:rPr>
          <w:rFonts w:asciiTheme="minorHAnsi" w:hAnsiTheme="minorHAnsi" w:cstheme="minorHAnsi"/>
          <w:sz w:val="20"/>
        </w:rPr>
        <w:t>iz</w:t>
      </w:r>
      <w:r w:rsidR="00E107A0" w:rsidRPr="008257B2">
        <w:rPr>
          <w:rFonts w:asciiTheme="minorHAnsi" w:hAnsiTheme="minorHAnsi" w:cstheme="minorHAnsi"/>
          <w:sz w:val="20"/>
        </w:rPr>
        <w:t xml:space="preserve">gradnjo novih </w:t>
      </w:r>
      <w:r w:rsidR="00782B15">
        <w:rPr>
          <w:rFonts w:asciiTheme="minorHAnsi" w:hAnsiTheme="minorHAnsi" w:cstheme="minorHAnsi"/>
          <w:sz w:val="20"/>
        </w:rPr>
        <w:t xml:space="preserve">energetsko in hidravlično učinkovitih </w:t>
      </w:r>
      <w:r w:rsidR="00E107A0" w:rsidRPr="008257B2">
        <w:rPr>
          <w:rFonts w:asciiTheme="minorHAnsi" w:hAnsiTheme="minorHAnsi" w:cstheme="minorHAnsi"/>
          <w:sz w:val="20"/>
        </w:rPr>
        <w:t>sistemov za oskrbo s pitno vodo</w:t>
      </w:r>
      <w:r w:rsidR="001F6AA8">
        <w:rPr>
          <w:rFonts w:asciiTheme="minorHAnsi" w:hAnsiTheme="minorHAnsi" w:cstheme="minorHAnsi"/>
          <w:sz w:val="20"/>
        </w:rPr>
        <w:t xml:space="preserve"> za manj kot 10000 prebivalcev</w:t>
      </w:r>
      <w:r w:rsidR="00E107A0" w:rsidRPr="008257B2">
        <w:rPr>
          <w:rFonts w:asciiTheme="minorHAnsi" w:hAnsiTheme="minorHAnsi" w:cstheme="minorHAnsi"/>
          <w:sz w:val="20"/>
        </w:rPr>
        <w:t>, ki bodo uresničili enega ključnih kazalnikov in sicer infrastrukturni</w:t>
      </w:r>
      <w:r w:rsidR="001F6AA8">
        <w:rPr>
          <w:rFonts w:asciiTheme="minorHAnsi" w:hAnsiTheme="minorHAnsi" w:cstheme="minorHAnsi"/>
          <w:sz w:val="20"/>
        </w:rPr>
        <w:t xml:space="preserve"> indeks uhajanja (ILI) ≤ 1,5</w:t>
      </w:r>
      <w:r w:rsidR="00E107A0" w:rsidRPr="008257B2">
        <w:rPr>
          <w:rFonts w:asciiTheme="minorHAnsi" w:hAnsiTheme="minorHAnsi" w:cstheme="minorHAnsi"/>
          <w:sz w:val="20"/>
        </w:rPr>
        <w:t>.</w:t>
      </w:r>
      <w:r w:rsidR="009C073C" w:rsidRPr="008257B2">
        <w:rPr>
          <w:rFonts w:asciiTheme="minorHAnsi" w:hAnsiTheme="minorHAnsi" w:cstheme="minorHAnsi"/>
          <w:sz w:val="20"/>
        </w:rPr>
        <w:t xml:space="preserve"> </w:t>
      </w:r>
    </w:p>
    <w:p w:rsidR="00E107A0" w:rsidRPr="008257B2" w:rsidRDefault="00E107A0" w:rsidP="009C073C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 xml:space="preserve">Investicije bodo izvajale občine in se bodo morale zaključiti najkasneje do 30. junija 2026. Za </w:t>
      </w:r>
      <w:r w:rsidR="00335BD9">
        <w:rPr>
          <w:rFonts w:asciiTheme="minorHAnsi" w:hAnsiTheme="minorHAnsi" w:cstheme="minorHAnsi"/>
          <w:sz w:val="20"/>
          <w:lang w:val="sl-SI"/>
        </w:rPr>
        <w:t xml:space="preserve">ta dva razpisa 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je </w:t>
      </w:r>
      <w:r w:rsidR="00335BD9">
        <w:rPr>
          <w:rFonts w:asciiTheme="minorHAnsi" w:hAnsiTheme="minorHAnsi" w:cstheme="minorHAnsi"/>
          <w:sz w:val="20"/>
          <w:lang w:val="sl-SI"/>
        </w:rPr>
        <w:t xml:space="preserve">predvidoma </w:t>
      </w:r>
      <w:r w:rsidRPr="008257B2">
        <w:rPr>
          <w:rFonts w:asciiTheme="minorHAnsi" w:hAnsiTheme="minorHAnsi" w:cstheme="minorHAnsi"/>
          <w:sz w:val="20"/>
          <w:lang w:val="sl-SI"/>
        </w:rPr>
        <w:t>namenjen</w:t>
      </w:r>
      <w:r w:rsidR="00335BD9">
        <w:rPr>
          <w:rFonts w:asciiTheme="minorHAnsi" w:hAnsiTheme="minorHAnsi" w:cstheme="minorHAnsi"/>
          <w:sz w:val="20"/>
          <w:lang w:val="sl-SI"/>
        </w:rPr>
        <w:t xml:space="preserve">ih </w:t>
      </w:r>
      <w:r w:rsidR="00A83C6A">
        <w:rPr>
          <w:rFonts w:asciiTheme="minorHAnsi" w:hAnsiTheme="minorHAnsi" w:cstheme="minorHAnsi"/>
          <w:sz w:val="20"/>
          <w:lang w:val="sl-SI"/>
        </w:rPr>
        <w:t>107</w:t>
      </w:r>
      <w:r w:rsidRPr="008257B2">
        <w:rPr>
          <w:rFonts w:asciiTheme="minorHAnsi" w:hAnsiTheme="minorHAnsi" w:cstheme="minorHAnsi"/>
          <w:sz w:val="20"/>
          <w:lang w:val="sl-SI"/>
        </w:rPr>
        <w:t>,7 mio EUR sredstev, pri čemer DDV ne bo upravičen strošek financiranja iz NOO.</w:t>
      </w:r>
      <w:r w:rsidR="005D37F5">
        <w:rPr>
          <w:rFonts w:asciiTheme="minorHAnsi" w:hAnsiTheme="minorHAnsi" w:cstheme="minorHAnsi"/>
          <w:sz w:val="20"/>
          <w:lang w:val="sl-SI"/>
        </w:rPr>
        <w:t xml:space="preserve"> Sredstva sofinanciranja bodo v višini med 250.000 in 1.000.000 EUR oziroma ne več kot 50 % vrednosti investicije.</w:t>
      </w:r>
    </w:p>
    <w:p w:rsidR="009C073C" w:rsidRPr="008257B2" w:rsidRDefault="009C073C" w:rsidP="009C073C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lang w:val="sl-SI"/>
        </w:rPr>
      </w:pPr>
    </w:p>
    <w:p w:rsidR="005C3960" w:rsidRPr="005C3960" w:rsidRDefault="00E107A0" w:rsidP="005C3960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 xml:space="preserve">Pred pripravo in objavo razpisa in z namenom preverbe </w:t>
      </w:r>
      <w:r w:rsidR="009C073C" w:rsidRPr="008257B2">
        <w:rPr>
          <w:rFonts w:asciiTheme="minorHAnsi" w:hAnsiTheme="minorHAnsi" w:cstheme="minorHAnsi"/>
          <w:sz w:val="20"/>
          <w:lang w:val="sl-SI"/>
        </w:rPr>
        <w:t xml:space="preserve">interesa 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s terena na področju </w:t>
      </w:r>
      <w:r w:rsidR="00C9737F" w:rsidRPr="008257B2">
        <w:rPr>
          <w:rFonts w:asciiTheme="minorHAnsi" w:hAnsiTheme="minorHAnsi" w:cstheme="minorHAnsi"/>
          <w:sz w:val="20"/>
          <w:lang w:val="sl-SI"/>
        </w:rPr>
        <w:t>infrastrukturnih</w:t>
      </w:r>
      <w:r w:rsidR="009C073C"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="00C9737F" w:rsidRPr="008257B2">
        <w:rPr>
          <w:rFonts w:asciiTheme="minorHAnsi" w:hAnsiTheme="minorHAnsi" w:cstheme="minorHAnsi"/>
          <w:sz w:val="20"/>
          <w:lang w:val="sl-SI"/>
        </w:rPr>
        <w:t>projektov</w:t>
      </w:r>
      <w:r w:rsidR="009C073C"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ter da se občine čim bolje pripravijo na najavljen razpis, </w:t>
      </w:r>
      <w:r w:rsidR="00A83C6A">
        <w:rPr>
          <w:rFonts w:asciiTheme="minorHAnsi" w:hAnsiTheme="minorHAnsi" w:cstheme="minorHAnsi"/>
          <w:sz w:val="20"/>
          <w:lang w:val="sl-SI"/>
        </w:rPr>
        <w:t>sta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pripravljen</w:t>
      </w:r>
      <w:r w:rsidR="00A83C6A">
        <w:rPr>
          <w:rFonts w:asciiTheme="minorHAnsi" w:hAnsiTheme="minorHAnsi" w:cstheme="minorHAnsi"/>
          <w:sz w:val="20"/>
          <w:lang w:val="sl-SI"/>
        </w:rPr>
        <w:t>a</w:t>
      </w:r>
      <w:r w:rsidR="009C073C" w:rsidRPr="008257B2">
        <w:rPr>
          <w:rFonts w:asciiTheme="minorHAnsi" w:hAnsiTheme="minorHAnsi" w:cstheme="minorHAnsi"/>
          <w:sz w:val="20"/>
          <w:lang w:val="sl-SI"/>
        </w:rPr>
        <w:t xml:space="preserve"> obrazc</w:t>
      </w:r>
      <w:r w:rsidR="00A83C6A">
        <w:rPr>
          <w:rFonts w:asciiTheme="minorHAnsi" w:hAnsiTheme="minorHAnsi" w:cstheme="minorHAnsi"/>
          <w:sz w:val="20"/>
          <w:lang w:val="sl-SI"/>
        </w:rPr>
        <w:t>a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za zbiranje podatkov</w:t>
      </w:r>
      <w:r w:rsidR="009C073C" w:rsidRPr="008257B2">
        <w:rPr>
          <w:rFonts w:asciiTheme="minorHAnsi" w:hAnsiTheme="minorHAnsi" w:cstheme="minorHAnsi"/>
          <w:sz w:val="20"/>
          <w:lang w:val="sl-SI"/>
        </w:rPr>
        <w:t xml:space="preserve"> k</w:t>
      </w:r>
      <w:r w:rsidR="00A83C6A">
        <w:rPr>
          <w:rFonts w:asciiTheme="minorHAnsi" w:hAnsiTheme="minorHAnsi" w:cstheme="minorHAnsi"/>
          <w:sz w:val="20"/>
          <w:lang w:val="sl-SI"/>
        </w:rPr>
        <w:t>i</w:t>
      </w:r>
      <w:r w:rsidR="009C073C"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="00A83C6A">
        <w:rPr>
          <w:rFonts w:asciiTheme="minorHAnsi" w:hAnsiTheme="minorHAnsi" w:cstheme="minorHAnsi"/>
          <w:sz w:val="20"/>
          <w:lang w:val="sl-SI"/>
        </w:rPr>
        <w:t>ju</w:t>
      </w:r>
      <w:r w:rsidR="009C073C" w:rsidRPr="008257B2">
        <w:rPr>
          <w:rFonts w:asciiTheme="minorHAnsi" w:hAnsiTheme="minorHAnsi" w:cstheme="minorHAnsi"/>
          <w:sz w:val="20"/>
          <w:lang w:val="sl-SI"/>
        </w:rPr>
        <w:t xml:space="preserve"> lahko </w:t>
      </w:r>
      <w:r w:rsidR="00C9737F" w:rsidRPr="008257B2">
        <w:rPr>
          <w:rFonts w:asciiTheme="minorHAnsi" w:hAnsiTheme="minorHAnsi" w:cstheme="minorHAnsi"/>
          <w:sz w:val="20"/>
          <w:lang w:val="sl-SI"/>
        </w:rPr>
        <w:t>izpolnjena</w:t>
      </w:r>
      <w:r w:rsidR="009C073C"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Pr="008257B2">
        <w:rPr>
          <w:rFonts w:asciiTheme="minorHAnsi" w:hAnsiTheme="minorHAnsi" w:cstheme="minorHAnsi"/>
          <w:sz w:val="20"/>
          <w:lang w:val="sl-SI"/>
        </w:rPr>
        <w:t>z vsebinami posredujete najkasneje do 3.</w:t>
      </w:r>
      <w:r w:rsidR="00C9737F"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="009C073C" w:rsidRPr="008257B2">
        <w:rPr>
          <w:rFonts w:asciiTheme="minorHAnsi" w:hAnsiTheme="minorHAnsi" w:cstheme="minorHAnsi"/>
          <w:sz w:val="20"/>
          <w:lang w:val="sl-SI"/>
        </w:rPr>
        <w:t>12</w:t>
      </w:r>
      <w:r w:rsidRPr="008257B2">
        <w:rPr>
          <w:rFonts w:asciiTheme="minorHAnsi" w:hAnsiTheme="minorHAnsi" w:cstheme="minorHAnsi"/>
          <w:sz w:val="20"/>
          <w:lang w:val="sl-SI"/>
        </w:rPr>
        <w:t>.</w:t>
      </w:r>
      <w:r w:rsidR="00C9737F"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2021 na elektronski naslov </w:t>
      </w:r>
      <w:hyperlink r:id="rId6" w:history="1">
        <w:r w:rsidRPr="008257B2">
          <w:rPr>
            <w:rFonts w:asciiTheme="minorHAnsi" w:hAnsiTheme="minorHAnsi" w:cstheme="minorHAnsi"/>
            <w:sz w:val="20"/>
            <w:lang w:val="sl-SI"/>
          </w:rPr>
          <w:t>gp.mop@gov.si</w:t>
        </w:r>
      </w:hyperlink>
      <w:r w:rsidR="005C3960">
        <w:rPr>
          <w:rFonts w:asciiTheme="minorHAnsi" w:hAnsiTheme="minorHAnsi" w:cstheme="minorHAnsi"/>
          <w:sz w:val="20"/>
          <w:lang w:val="sl-SI"/>
        </w:rPr>
        <w:t xml:space="preserve"> z obveznim sklicem na št.: </w:t>
      </w:r>
      <w:r w:rsidR="005C3960" w:rsidRPr="005C3960">
        <w:rPr>
          <w:rFonts w:asciiTheme="minorHAnsi" w:hAnsiTheme="minorHAnsi" w:cstheme="minorHAnsi"/>
          <w:sz w:val="20"/>
          <w:lang w:val="sl-SI"/>
        </w:rPr>
        <w:t>35400-470/2021-2550</w:t>
      </w:r>
      <w:r w:rsidR="005C3960">
        <w:rPr>
          <w:rFonts w:asciiTheme="minorHAnsi" w:hAnsiTheme="minorHAnsi" w:cstheme="minorHAnsi"/>
          <w:sz w:val="20"/>
          <w:lang w:val="sl-SI"/>
        </w:rPr>
        <w:t>.</w:t>
      </w:r>
    </w:p>
    <w:p w:rsidR="00E107A0" w:rsidRPr="008257B2" w:rsidRDefault="00E107A0" w:rsidP="009C073C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 xml:space="preserve">Objava javnega razpisa je predvidena v mesecu decembru. Razpis bo odprt do porabe sredstev. Dodeljevanje spodbud bo potekalo po principu sofinanciranja upravičenih stroškov investicijskih projektov, skladno z nacionalnimi pravili in s pravili EU. </w:t>
      </w:r>
    </w:p>
    <w:p w:rsidR="00FD3200" w:rsidRPr="008257B2" w:rsidRDefault="00FD3200" w:rsidP="009C073C">
      <w:pPr>
        <w:pStyle w:val="Telobesedila3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D3200" w:rsidRPr="008257B2" w:rsidRDefault="00FD3200" w:rsidP="009C073C">
      <w:pPr>
        <w:pStyle w:val="Telobesedil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257B2">
        <w:rPr>
          <w:rFonts w:asciiTheme="minorHAnsi" w:hAnsiTheme="minorHAnsi" w:cstheme="minorHAnsi"/>
          <w:b/>
          <w:sz w:val="20"/>
          <w:szCs w:val="20"/>
        </w:rPr>
        <w:t xml:space="preserve">PREDMET </w:t>
      </w:r>
      <w:r w:rsidR="00E107A0" w:rsidRPr="008257B2">
        <w:rPr>
          <w:rFonts w:asciiTheme="minorHAnsi" w:hAnsiTheme="minorHAnsi" w:cstheme="minorHAnsi"/>
          <w:b/>
          <w:sz w:val="20"/>
          <w:szCs w:val="20"/>
        </w:rPr>
        <w:t xml:space="preserve">NAJAVLJENEGA </w:t>
      </w:r>
      <w:r w:rsidRPr="008257B2">
        <w:rPr>
          <w:rFonts w:asciiTheme="minorHAnsi" w:hAnsiTheme="minorHAnsi" w:cstheme="minorHAnsi"/>
          <w:b/>
          <w:sz w:val="20"/>
          <w:szCs w:val="20"/>
        </w:rPr>
        <w:t>JAVNEGA RAZPISA</w:t>
      </w:r>
    </w:p>
    <w:p w:rsidR="009C073C" w:rsidRPr="008257B2" w:rsidRDefault="009C073C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 xml:space="preserve">Predmet </w:t>
      </w:r>
      <w:r w:rsidR="00C9737F" w:rsidRPr="008257B2">
        <w:rPr>
          <w:rFonts w:asciiTheme="minorHAnsi" w:hAnsiTheme="minorHAnsi" w:cstheme="minorHAnsi"/>
          <w:sz w:val="20"/>
          <w:lang w:val="sl-SI"/>
        </w:rPr>
        <w:t xml:space="preserve">najavljenega 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javnega razpisa </w:t>
      </w:r>
      <w:r w:rsidR="00E107A0" w:rsidRPr="008257B2">
        <w:rPr>
          <w:rFonts w:asciiTheme="minorHAnsi" w:hAnsiTheme="minorHAnsi" w:cstheme="minorHAnsi"/>
          <w:sz w:val="20"/>
          <w:lang w:val="sl-SI"/>
        </w:rPr>
        <w:t>bo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dodelitev spodbud za:</w:t>
      </w:r>
    </w:p>
    <w:p w:rsidR="00FD3200" w:rsidRPr="008257B2" w:rsidRDefault="00C9737F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 xml:space="preserve">naložbe v </w:t>
      </w:r>
      <w:r w:rsidR="005D37F5">
        <w:rPr>
          <w:rFonts w:asciiTheme="minorHAnsi" w:hAnsiTheme="minorHAnsi" w:cstheme="minorHAnsi"/>
          <w:sz w:val="20"/>
          <w:lang w:val="sl-SI"/>
        </w:rPr>
        <w:t>energetsko učinkovite sisteme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za odvajanje in čiščenje </w:t>
      </w:r>
      <w:r w:rsidR="00A83C6A">
        <w:rPr>
          <w:rFonts w:asciiTheme="minorHAnsi" w:hAnsiTheme="minorHAnsi" w:cstheme="minorHAnsi"/>
          <w:sz w:val="20"/>
          <w:lang w:val="sl-SI"/>
        </w:rPr>
        <w:t xml:space="preserve">komunalnih </w:t>
      </w:r>
      <w:r w:rsidRPr="008257B2">
        <w:rPr>
          <w:rFonts w:asciiTheme="minorHAnsi" w:hAnsiTheme="minorHAnsi" w:cstheme="minorHAnsi"/>
          <w:sz w:val="20"/>
          <w:lang w:val="sl-SI"/>
        </w:rPr>
        <w:t>odpadn</w:t>
      </w:r>
      <w:r w:rsidR="00A83C6A">
        <w:rPr>
          <w:rFonts w:asciiTheme="minorHAnsi" w:hAnsiTheme="minorHAnsi" w:cstheme="minorHAnsi"/>
          <w:sz w:val="20"/>
          <w:lang w:val="sl-SI"/>
        </w:rPr>
        <w:t>ih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vod</w:t>
      </w:r>
      <w:r w:rsidR="005D37F5">
        <w:rPr>
          <w:rFonts w:asciiTheme="minorHAnsi" w:hAnsiTheme="minorHAnsi" w:cstheme="minorHAnsi"/>
          <w:sz w:val="20"/>
          <w:lang w:val="sl-SI"/>
        </w:rPr>
        <w:t xml:space="preserve"> za aglomeracije manjše od 2000 PE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="00FD3200" w:rsidRPr="008257B2">
        <w:rPr>
          <w:rFonts w:asciiTheme="minorHAnsi" w:hAnsiTheme="minorHAnsi" w:cstheme="minorHAnsi"/>
          <w:sz w:val="20"/>
          <w:lang w:val="sl-SI"/>
        </w:rPr>
        <w:t>(</w:t>
      </w:r>
      <w:r w:rsidR="00FD3200" w:rsidRPr="008257B2">
        <w:rPr>
          <w:rFonts w:asciiTheme="minorHAnsi" w:hAnsiTheme="minorHAnsi" w:cstheme="minorHAnsi"/>
          <w:b/>
          <w:sz w:val="20"/>
          <w:lang w:val="sl-SI"/>
        </w:rPr>
        <w:t>UKREP 1</w:t>
      </w:r>
      <w:r w:rsidR="00FD3200" w:rsidRPr="008257B2">
        <w:rPr>
          <w:rFonts w:asciiTheme="minorHAnsi" w:hAnsiTheme="minorHAnsi" w:cstheme="minorHAnsi"/>
          <w:sz w:val="20"/>
          <w:lang w:val="sl-SI"/>
        </w:rPr>
        <w:t>);</w:t>
      </w:r>
    </w:p>
    <w:p w:rsidR="00FD3200" w:rsidRPr="008257B2" w:rsidRDefault="00C9737F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 xml:space="preserve">naložbe </w:t>
      </w:r>
      <w:r w:rsidR="005D37F5">
        <w:rPr>
          <w:rFonts w:asciiTheme="minorHAnsi" w:hAnsiTheme="minorHAnsi" w:cstheme="minorHAnsi"/>
          <w:sz w:val="20"/>
          <w:lang w:val="sl-SI"/>
        </w:rPr>
        <w:t>za izgradnjo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="005D37F5">
        <w:rPr>
          <w:rFonts w:asciiTheme="minorHAnsi" w:hAnsiTheme="minorHAnsi" w:cstheme="minorHAnsi"/>
          <w:sz w:val="20"/>
          <w:lang w:val="sl-SI"/>
        </w:rPr>
        <w:t xml:space="preserve">energetsko </w:t>
      </w:r>
      <w:r w:rsidR="00782B15">
        <w:rPr>
          <w:rFonts w:asciiTheme="minorHAnsi" w:hAnsiTheme="minorHAnsi" w:cstheme="minorHAnsi"/>
          <w:sz w:val="20"/>
          <w:lang w:val="sl-SI"/>
        </w:rPr>
        <w:t xml:space="preserve">in hidravlično </w:t>
      </w:r>
      <w:r w:rsidR="005D37F5">
        <w:rPr>
          <w:rFonts w:asciiTheme="minorHAnsi" w:hAnsiTheme="minorHAnsi" w:cstheme="minorHAnsi"/>
          <w:sz w:val="20"/>
          <w:lang w:val="sl-SI"/>
        </w:rPr>
        <w:t>učinkovitih sistemov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="00A83C6A">
        <w:rPr>
          <w:rFonts w:asciiTheme="minorHAnsi" w:hAnsiTheme="minorHAnsi" w:cstheme="minorHAnsi"/>
          <w:sz w:val="20"/>
          <w:lang w:val="sl-SI"/>
        </w:rPr>
        <w:t xml:space="preserve">oskrbe </w:t>
      </w:r>
      <w:r w:rsidRPr="008257B2">
        <w:rPr>
          <w:rFonts w:asciiTheme="minorHAnsi" w:hAnsiTheme="minorHAnsi" w:cstheme="minorHAnsi"/>
          <w:sz w:val="20"/>
          <w:lang w:val="sl-SI"/>
        </w:rPr>
        <w:t>s pitno vodo</w:t>
      </w:r>
      <w:r w:rsidR="005D37F5">
        <w:rPr>
          <w:rFonts w:asciiTheme="minorHAnsi" w:hAnsiTheme="minorHAnsi" w:cstheme="minorHAnsi"/>
          <w:sz w:val="20"/>
          <w:lang w:val="sl-SI"/>
        </w:rPr>
        <w:t xml:space="preserve">, ki oskrbujejo manj kot 10000 prebivalcev </w:t>
      </w:r>
      <w:r w:rsidRPr="008257B2">
        <w:rPr>
          <w:rFonts w:asciiTheme="minorHAnsi" w:hAnsiTheme="minorHAnsi" w:cstheme="minorHAnsi"/>
          <w:sz w:val="20"/>
          <w:lang w:val="sl-SI"/>
        </w:rPr>
        <w:t xml:space="preserve"> </w:t>
      </w:r>
      <w:r w:rsidR="00FD3200" w:rsidRPr="008257B2">
        <w:rPr>
          <w:rFonts w:asciiTheme="minorHAnsi" w:hAnsiTheme="minorHAnsi" w:cstheme="minorHAnsi"/>
          <w:sz w:val="20"/>
          <w:lang w:val="sl-SI"/>
        </w:rPr>
        <w:t>(</w:t>
      </w:r>
      <w:r w:rsidR="00FD3200" w:rsidRPr="008257B2">
        <w:rPr>
          <w:rFonts w:asciiTheme="minorHAnsi" w:hAnsiTheme="minorHAnsi" w:cstheme="minorHAnsi"/>
          <w:b/>
          <w:sz w:val="20"/>
          <w:lang w:val="sl-SI"/>
        </w:rPr>
        <w:t>UKREP 2</w:t>
      </w:r>
      <w:r w:rsidR="00FD3200" w:rsidRPr="008257B2">
        <w:rPr>
          <w:rFonts w:asciiTheme="minorHAnsi" w:hAnsiTheme="minorHAnsi" w:cstheme="minorHAnsi"/>
          <w:sz w:val="20"/>
          <w:lang w:val="sl-SI"/>
        </w:rPr>
        <w:t>).</w:t>
      </w:r>
    </w:p>
    <w:p w:rsidR="00FD3200" w:rsidRPr="008257B2" w:rsidRDefault="00FD3200" w:rsidP="009C073C">
      <w:pPr>
        <w:ind w:left="720"/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8257B2">
        <w:rPr>
          <w:rFonts w:asciiTheme="minorHAnsi" w:hAnsiTheme="minorHAnsi" w:cstheme="minorHAnsi"/>
          <w:b/>
          <w:sz w:val="20"/>
          <w:lang w:val="sl-SI"/>
        </w:rPr>
        <w:t>OSNOVNI POGOJI IN SPLOŠNA DOLOČILA ZA ODDAJO VLOGE</w:t>
      </w: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pStyle w:val="Odstavekseznama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8257B2">
        <w:rPr>
          <w:rFonts w:asciiTheme="minorHAnsi" w:hAnsiTheme="minorHAnsi" w:cstheme="minorHAnsi"/>
          <w:b/>
          <w:sz w:val="20"/>
          <w:lang w:val="sl-SI"/>
        </w:rPr>
        <w:t xml:space="preserve">Splošna določila za oddajo vloge:  </w:t>
      </w:r>
    </w:p>
    <w:p w:rsidR="00FD3200" w:rsidRDefault="00FD3200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Pomoč se lahko dodeli samo upravičencem tj, lokalni skupnosti.</w:t>
      </w:r>
    </w:p>
    <w:p w:rsidR="00E36C93" w:rsidRPr="008257B2" w:rsidRDefault="00E36C93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>
        <w:rPr>
          <w:rFonts w:asciiTheme="minorHAnsi" w:hAnsiTheme="minorHAnsi" w:cstheme="minorHAnsi"/>
          <w:sz w:val="20"/>
          <w:lang w:val="sl-SI"/>
        </w:rPr>
        <w:t>Pomoč se lahko dodeli upravičencu, posamezni lokalni skupnosti le za en projekt odvajanja in čiščenja in le en projekt oskrbe s pitno vodo.</w:t>
      </w:r>
    </w:p>
    <w:p w:rsidR="00FD3200" w:rsidRPr="008257B2" w:rsidRDefault="00FD3200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Pomoč se dodeli na podlagi vloge upravičenca tj. vlagatelja. Podrobna vsebina vloge in zahtevane priloge bodo določene v razpisu in razpisni dokumentaciji (obrazcih).</w:t>
      </w:r>
    </w:p>
    <w:p w:rsidR="00FD3200" w:rsidRDefault="00FD3200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Vlagatelj lahko kandidira samo za investicijo, ki jo s pomočjo sredstev iz najavljenega razpisa</w:t>
      </w:r>
      <w:r w:rsidRPr="008257B2">
        <w:rPr>
          <w:rFonts w:asciiTheme="minorHAnsi" w:hAnsiTheme="minorHAnsi" w:cstheme="minorHAnsi"/>
          <w:strike/>
          <w:sz w:val="20"/>
          <w:lang w:val="sl-SI"/>
        </w:rPr>
        <w:t xml:space="preserve"> </w:t>
      </w:r>
      <w:r w:rsidRPr="008257B2">
        <w:rPr>
          <w:rFonts w:asciiTheme="minorHAnsi" w:hAnsiTheme="minorHAnsi" w:cstheme="minorHAnsi"/>
          <w:sz w:val="20"/>
          <w:lang w:val="sl-SI"/>
        </w:rPr>
        <w:t>lahko izvede v celoti.</w:t>
      </w:r>
    </w:p>
    <w:p w:rsidR="005D37F5" w:rsidRPr="008257B2" w:rsidRDefault="005D37F5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>
        <w:rPr>
          <w:rFonts w:asciiTheme="minorHAnsi" w:hAnsiTheme="minorHAnsi" w:cstheme="minorHAnsi"/>
          <w:sz w:val="20"/>
          <w:lang w:val="sl-SI"/>
        </w:rPr>
        <w:t>Vlagatelj mora predložiti k vlogi pravnomočno gradbeno dovoljenje za prijavljeno investicijo v celoti.</w:t>
      </w:r>
    </w:p>
    <w:p w:rsidR="00FD3200" w:rsidRPr="008257B2" w:rsidRDefault="00FD3200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Upravičenec, ki bo pridobil sredstva za izvedbo investicije (v nadaljevanju – upravičeni prejemnik), mora investicijo izvesti v skladu z vsemi veljavnimi predpisi.</w:t>
      </w:r>
    </w:p>
    <w:p w:rsidR="00FD3200" w:rsidRPr="008257B2" w:rsidRDefault="00FD3200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Vlagatelj bo moral ob prijavi na javni razpis predložiti izjavo, da za isti namen ni pridobil oziroma ni v postopku pridobivanja dodatnih sredstev iz kateregakoli drugega javnega vira.</w:t>
      </w:r>
    </w:p>
    <w:p w:rsidR="00FD3200" w:rsidRPr="008257B2" w:rsidRDefault="00FD3200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Vlagatelj, ki ja za isti namen, kot ga navaja v vlogi za pridobitev sredstev, že prejel javna sredstva Republike Slovenije ali EU, do sredstev ni upravičen.</w:t>
      </w:r>
    </w:p>
    <w:p w:rsidR="00FD3200" w:rsidRPr="008257B2" w:rsidRDefault="00FD3200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Upravičeni prejemnik bo moral voditi predpisano dokumentacijo, ki bo določena z javnim razpisom in pogodbo o dodelitvi sredstev.</w:t>
      </w:r>
    </w:p>
    <w:p w:rsidR="00FD3200" w:rsidRDefault="00FD3200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8257B2">
        <w:rPr>
          <w:rFonts w:asciiTheme="minorHAnsi" w:hAnsiTheme="minorHAnsi" w:cstheme="minorHAnsi"/>
          <w:sz w:val="20"/>
          <w:lang w:val="sl-SI"/>
        </w:rPr>
        <w:t>DDV, drugi davki, dajatve in takse niso upravičen strošek.</w:t>
      </w:r>
    </w:p>
    <w:p w:rsidR="00782B15" w:rsidRPr="008257B2" w:rsidRDefault="00782B15" w:rsidP="009C073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>
        <w:rPr>
          <w:rFonts w:asciiTheme="minorHAnsi" w:hAnsiTheme="minorHAnsi" w:cstheme="minorHAnsi"/>
          <w:sz w:val="20"/>
          <w:lang w:val="sl-SI"/>
        </w:rPr>
        <w:t>Upravičeni stroški štejejo od 20.02.2020 do vključno 30.06.2026.</w:t>
      </w: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8257B2">
        <w:rPr>
          <w:rFonts w:asciiTheme="minorHAnsi" w:hAnsiTheme="minorHAnsi" w:cstheme="minorHAnsi"/>
          <w:b/>
          <w:sz w:val="20"/>
          <w:lang w:val="sl-SI"/>
        </w:rPr>
        <w:t xml:space="preserve">UKREP </w:t>
      </w:r>
      <w:r w:rsidR="00017EE3" w:rsidRPr="008257B2">
        <w:rPr>
          <w:rFonts w:asciiTheme="minorHAnsi" w:hAnsiTheme="minorHAnsi" w:cstheme="minorHAnsi"/>
          <w:b/>
          <w:sz w:val="20"/>
          <w:lang w:val="sl-SI"/>
        </w:rPr>
        <w:t>1</w:t>
      </w:r>
      <w:r w:rsidRPr="008257B2">
        <w:rPr>
          <w:rFonts w:asciiTheme="minorHAnsi" w:hAnsiTheme="minorHAnsi" w:cstheme="minorHAnsi"/>
          <w:b/>
          <w:sz w:val="20"/>
          <w:lang w:val="sl-SI"/>
        </w:rPr>
        <w:t>: Spodbujanje izvedbe investicij odvajanja komunaln</w:t>
      </w:r>
      <w:r w:rsidR="00A83C6A">
        <w:rPr>
          <w:rFonts w:asciiTheme="minorHAnsi" w:hAnsiTheme="minorHAnsi" w:cstheme="minorHAnsi"/>
          <w:b/>
          <w:sz w:val="20"/>
          <w:lang w:val="sl-SI"/>
        </w:rPr>
        <w:t>ih</w:t>
      </w:r>
      <w:r w:rsidRPr="008257B2">
        <w:rPr>
          <w:rFonts w:asciiTheme="minorHAnsi" w:hAnsiTheme="minorHAnsi" w:cstheme="minorHAnsi"/>
          <w:b/>
          <w:sz w:val="20"/>
          <w:lang w:val="sl-SI"/>
        </w:rPr>
        <w:t xml:space="preserve"> odpadn</w:t>
      </w:r>
      <w:r w:rsidR="00A83C6A">
        <w:rPr>
          <w:rFonts w:asciiTheme="minorHAnsi" w:hAnsiTheme="minorHAnsi" w:cstheme="minorHAnsi"/>
          <w:b/>
          <w:sz w:val="20"/>
          <w:lang w:val="sl-SI"/>
        </w:rPr>
        <w:t xml:space="preserve">ih </w:t>
      </w:r>
      <w:r w:rsidRPr="008257B2">
        <w:rPr>
          <w:rFonts w:asciiTheme="minorHAnsi" w:hAnsiTheme="minorHAnsi" w:cstheme="minorHAnsi"/>
          <w:b/>
          <w:sz w:val="20"/>
          <w:lang w:val="sl-SI"/>
        </w:rPr>
        <w:t>vod</w:t>
      </w:r>
    </w:p>
    <w:p w:rsidR="00FD3200" w:rsidRPr="008257B2" w:rsidRDefault="00FD3200" w:rsidP="009C073C">
      <w:pPr>
        <w:pStyle w:val="Brezrazmikov1"/>
        <w:jc w:val="both"/>
        <w:rPr>
          <w:rFonts w:asciiTheme="minorHAnsi" w:hAnsiTheme="minorHAnsi" w:cstheme="minorHAnsi"/>
          <w:sz w:val="20"/>
          <w:szCs w:val="20"/>
        </w:rPr>
      </w:pPr>
    </w:p>
    <w:p w:rsidR="00C9737F" w:rsidRDefault="00C9737F" w:rsidP="00A83C6A">
      <w:pPr>
        <w:pStyle w:val="Odstavekseznam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lang w:val="sl-SI"/>
        </w:rPr>
      </w:pPr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Naložba zajema </w:t>
      </w:r>
      <w:r w:rsidR="005D37F5">
        <w:rPr>
          <w:rFonts w:asciiTheme="minorHAnsi" w:hAnsiTheme="minorHAnsi" w:cstheme="minorHAnsi"/>
          <w:color w:val="000000"/>
          <w:sz w:val="20"/>
          <w:lang w:val="sl-SI"/>
        </w:rPr>
        <w:t xml:space="preserve">novo </w:t>
      </w:r>
      <w:r w:rsidRPr="008257B2">
        <w:rPr>
          <w:rFonts w:asciiTheme="minorHAnsi" w:hAnsiTheme="minorHAnsi" w:cstheme="minorHAnsi"/>
          <w:color w:val="000000"/>
          <w:sz w:val="20"/>
          <w:lang w:val="sl-SI"/>
        </w:rPr>
        <w:t>gradnjo energetsko učinkovitih sistemov odvajanja in čiščenja komunalnih odpadnih voda aglomeracij manjših od 2000 PE</w:t>
      </w:r>
      <w:r w:rsidR="005D37F5">
        <w:rPr>
          <w:rFonts w:asciiTheme="minorHAnsi" w:hAnsiTheme="minorHAnsi" w:cstheme="minorHAnsi"/>
          <w:color w:val="000000"/>
          <w:sz w:val="20"/>
          <w:lang w:val="sl-SI"/>
        </w:rPr>
        <w:t xml:space="preserve"> </w:t>
      </w:r>
      <w:r w:rsidR="005D37F5"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(poraba energije zaradi odvoza iz greznic, nezadostne </w:t>
      </w:r>
      <w:proofErr w:type="spellStart"/>
      <w:r w:rsidR="005D37F5" w:rsidRPr="008257B2">
        <w:rPr>
          <w:rFonts w:asciiTheme="minorHAnsi" w:hAnsiTheme="minorHAnsi" w:cstheme="minorHAnsi"/>
          <w:color w:val="000000"/>
          <w:sz w:val="20"/>
          <w:lang w:val="sl-SI"/>
        </w:rPr>
        <w:t>priključenosti</w:t>
      </w:r>
      <w:proofErr w:type="spellEnd"/>
      <w:r w:rsidR="005D37F5"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 PE na obstoječe sisteme, hidravlične neustreznosti…)</w:t>
      </w:r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. Naložbe bodo predvidoma prednostno namenjene projektom v sisteme odvajanja in čiščenja komunalnih odpadnih voda na območjih Natura 2000 in vodovarstvenih območjih. </w:t>
      </w:r>
    </w:p>
    <w:p w:rsidR="005D37F5" w:rsidRPr="008257B2" w:rsidRDefault="005D37F5" w:rsidP="00A83C6A">
      <w:pPr>
        <w:pStyle w:val="Odstavekseznam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lang w:val="sl-SI"/>
        </w:rPr>
      </w:pPr>
    </w:p>
    <w:p w:rsidR="00C9737F" w:rsidRPr="008257B2" w:rsidRDefault="00C9737F" w:rsidP="00A83C6A">
      <w:pPr>
        <w:pStyle w:val="Odstavekseznam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lang w:val="sl-SI"/>
        </w:rPr>
      </w:pPr>
      <w:r w:rsidRPr="008257B2">
        <w:rPr>
          <w:rFonts w:asciiTheme="minorHAnsi" w:hAnsiTheme="minorHAnsi" w:cstheme="minorHAnsi"/>
          <w:b/>
          <w:bCs/>
          <w:color w:val="000000"/>
          <w:sz w:val="20"/>
          <w:lang w:val="sl-SI"/>
        </w:rPr>
        <w:t>izhodišča:</w:t>
      </w:r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 </w:t>
      </w:r>
      <w:r w:rsidRPr="008257B2">
        <w:rPr>
          <w:rFonts w:asciiTheme="minorHAnsi" w:hAnsiTheme="minorHAnsi" w:cstheme="minorHAnsi"/>
          <w:color w:val="000000"/>
          <w:sz w:val="20"/>
          <w:lang w:val="sl-SI"/>
        </w:rPr>
        <w:br/>
        <w:t xml:space="preserve">Ukrep spodbujanja investicij v okoljsko infrastrukturo je usmerjen v investicije, ki niso projekti, ki se izvajajo kot projekti sofinancirani iz kohezijskih sredstev z namenom zagotavljanja opremljenosti po Direktivi o čiščenju komunalne odpadne vode, vendar so prav tako pomembni, da sistemi na </w:t>
      </w:r>
      <w:proofErr w:type="spellStart"/>
      <w:r w:rsidRPr="008257B2">
        <w:rPr>
          <w:rFonts w:asciiTheme="minorHAnsi" w:hAnsiTheme="minorHAnsi" w:cstheme="minorHAnsi"/>
          <w:color w:val="000000"/>
          <w:sz w:val="20"/>
          <w:lang w:val="sl-SI"/>
        </w:rPr>
        <w:t>sub</w:t>
      </w:r>
      <w:proofErr w:type="spellEnd"/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 – regionalnem in lokalnem območju delujejo. </w:t>
      </w:r>
    </w:p>
    <w:p w:rsidR="008257B2" w:rsidRDefault="008257B2" w:rsidP="00C9737F">
      <w:pPr>
        <w:pStyle w:val="Brezrazmikov1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D3200" w:rsidRPr="008257B2" w:rsidRDefault="00FD3200" w:rsidP="009C0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8257B2">
        <w:rPr>
          <w:rFonts w:asciiTheme="minorHAnsi" w:hAnsiTheme="minorHAnsi" w:cstheme="minorHAnsi"/>
          <w:b/>
          <w:sz w:val="20"/>
          <w:lang w:val="sl-SI"/>
        </w:rPr>
        <w:t xml:space="preserve">UKREP </w:t>
      </w:r>
      <w:r w:rsidR="00017EE3" w:rsidRPr="008257B2">
        <w:rPr>
          <w:rFonts w:asciiTheme="minorHAnsi" w:hAnsiTheme="minorHAnsi" w:cstheme="minorHAnsi"/>
          <w:b/>
          <w:sz w:val="20"/>
          <w:lang w:val="sl-SI"/>
        </w:rPr>
        <w:t>2</w:t>
      </w:r>
      <w:r w:rsidRPr="008257B2">
        <w:rPr>
          <w:rFonts w:asciiTheme="minorHAnsi" w:hAnsiTheme="minorHAnsi" w:cstheme="minorHAnsi"/>
          <w:b/>
          <w:sz w:val="20"/>
          <w:lang w:val="sl-SI"/>
        </w:rPr>
        <w:t xml:space="preserve">: Spodbujanje izvedbe investicij v oskrbo s pitno vodo </w:t>
      </w:r>
    </w:p>
    <w:p w:rsidR="008257B2" w:rsidRDefault="00C9737F" w:rsidP="00A83C6A">
      <w:pPr>
        <w:pStyle w:val="Odstavekseznama"/>
        <w:autoSpaceDE w:val="0"/>
        <w:autoSpaceDN w:val="0"/>
        <w:adjustRightInd w:val="0"/>
        <w:spacing w:before="240"/>
        <w:ind w:left="0"/>
        <w:jc w:val="both"/>
        <w:rPr>
          <w:rFonts w:asciiTheme="minorHAnsi" w:hAnsiTheme="minorHAnsi" w:cstheme="minorHAnsi"/>
          <w:color w:val="000000"/>
          <w:sz w:val="20"/>
          <w:lang w:val="sl-SI"/>
        </w:rPr>
      </w:pPr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Cilj investicije je izgradnja novih </w:t>
      </w:r>
      <w:r w:rsidR="00D22CEA">
        <w:rPr>
          <w:rFonts w:asciiTheme="minorHAnsi" w:hAnsiTheme="minorHAnsi" w:cstheme="minorHAnsi"/>
          <w:color w:val="000000"/>
          <w:sz w:val="20"/>
          <w:lang w:val="sl-SI"/>
        </w:rPr>
        <w:t xml:space="preserve">energetsko in hidravlično učinkovitih </w:t>
      </w:r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vodovodnih sistemov </w:t>
      </w:r>
      <w:r w:rsidR="00D22CEA">
        <w:rPr>
          <w:rFonts w:asciiTheme="minorHAnsi" w:hAnsiTheme="minorHAnsi" w:cstheme="minorHAnsi"/>
          <w:color w:val="000000"/>
          <w:sz w:val="20"/>
          <w:lang w:val="sl-SI"/>
        </w:rPr>
        <w:t>za manj</w:t>
      </w:r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 od 10.000 prebivalcev. </w:t>
      </w:r>
    </w:p>
    <w:p w:rsidR="008257B2" w:rsidRDefault="008257B2" w:rsidP="00C9737F">
      <w:pPr>
        <w:pStyle w:val="Odstavekseznama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000000"/>
          <w:sz w:val="20"/>
          <w:lang w:val="sl-SI"/>
        </w:rPr>
      </w:pPr>
    </w:p>
    <w:p w:rsidR="00C9737F" w:rsidRDefault="00C9737F" w:rsidP="00A83C6A">
      <w:pPr>
        <w:pStyle w:val="Odstavekseznam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lang w:val="sl-SI"/>
        </w:rPr>
      </w:pPr>
      <w:r w:rsidRPr="008257B2">
        <w:rPr>
          <w:rFonts w:asciiTheme="minorHAnsi" w:hAnsiTheme="minorHAnsi" w:cstheme="minorHAnsi"/>
          <w:b/>
          <w:bCs/>
          <w:color w:val="000000"/>
          <w:sz w:val="20"/>
          <w:lang w:val="sl-SI"/>
        </w:rPr>
        <w:t>izhodišča:</w:t>
      </w:r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 </w:t>
      </w:r>
      <w:r w:rsidRPr="008257B2">
        <w:rPr>
          <w:rFonts w:asciiTheme="minorHAnsi" w:hAnsiTheme="minorHAnsi" w:cstheme="minorHAnsi"/>
          <w:color w:val="000000"/>
          <w:sz w:val="20"/>
          <w:lang w:val="sl-SI"/>
        </w:rPr>
        <w:br/>
        <w:t xml:space="preserve">Ukrep spodbujanja investicij v okoljsko infrastrukturo je usmerjen v investicije, ki niso projekti, ki se izvajajo kot projekti sofinancirani iz kohezijskih sredstev, vendar so prav tako pomembni, da sistemi na </w:t>
      </w:r>
      <w:proofErr w:type="spellStart"/>
      <w:r w:rsidRPr="008257B2">
        <w:rPr>
          <w:rFonts w:asciiTheme="minorHAnsi" w:hAnsiTheme="minorHAnsi" w:cstheme="minorHAnsi"/>
          <w:color w:val="000000"/>
          <w:sz w:val="20"/>
          <w:lang w:val="sl-SI"/>
        </w:rPr>
        <w:t>sub</w:t>
      </w:r>
      <w:proofErr w:type="spellEnd"/>
      <w:r w:rsidRPr="008257B2">
        <w:rPr>
          <w:rFonts w:asciiTheme="minorHAnsi" w:hAnsiTheme="minorHAnsi" w:cstheme="minorHAnsi"/>
          <w:color w:val="000000"/>
          <w:sz w:val="20"/>
          <w:lang w:val="sl-SI"/>
        </w:rPr>
        <w:t xml:space="preserve"> –regionalnem in lokalnem območju delujejo. </w:t>
      </w:r>
    </w:p>
    <w:p w:rsidR="00D22CEA" w:rsidRPr="008257B2" w:rsidRDefault="00D22CEA" w:rsidP="00A83C6A">
      <w:pPr>
        <w:pStyle w:val="Odstavekseznama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lang w:val="sl-SI"/>
        </w:rPr>
      </w:pPr>
    </w:p>
    <w:p w:rsidR="00FD3200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FD3200" w:rsidRPr="008257B2" w:rsidRDefault="00FD320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91"/>
        <w:gridCol w:w="2590"/>
        <w:gridCol w:w="3823"/>
      </w:tblGrid>
      <w:tr w:rsidR="00FD3200" w:rsidRPr="008257B2" w:rsidTr="00287AE5">
        <w:tc>
          <w:tcPr>
            <w:tcW w:w="2591" w:type="dxa"/>
          </w:tcPr>
          <w:p w:rsidR="00FD3200" w:rsidRPr="008257B2" w:rsidRDefault="00FD3200" w:rsidP="009C073C">
            <w:pPr>
              <w:jc w:val="both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  <w:tc>
          <w:tcPr>
            <w:tcW w:w="2590" w:type="dxa"/>
          </w:tcPr>
          <w:p w:rsidR="00FD3200" w:rsidRPr="008257B2" w:rsidRDefault="00FD3200" w:rsidP="009C073C">
            <w:pPr>
              <w:jc w:val="both"/>
              <w:rPr>
                <w:rFonts w:asciiTheme="minorHAnsi" w:hAnsiTheme="minorHAnsi" w:cstheme="minorHAnsi"/>
                <w:sz w:val="20"/>
                <w:lang w:val="sl-SI"/>
              </w:rPr>
            </w:pPr>
          </w:p>
        </w:tc>
        <w:tc>
          <w:tcPr>
            <w:tcW w:w="3823" w:type="dxa"/>
          </w:tcPr>
          <w:p w:rsidR="00FD3200" w:rsidRPr="008257B2" w:rsidRDefault="00FD3200" w:rsidP="009C073C">
            <w:pPr>
              <w:jc w:val="both"/>
              <w:rPr>
                <w:rFonts w:asciiTheme="minorHAnsi" w:hAnsiTheme="minorHAnsi" w:cstheme="minorHAnsi"/>
                <w:b/>
                <w:noProof/>
                <w:sz w:val="20"/>
                <w:lang w:val="sl-SI"/>
              </w:rPr>
            </w:pPr>
          </w:p>
        </w:tc>
      </w:tr>
    </w:tbl>
    <w:p w:rsidR="006547F0" w:rsidRPr="008257B2" w:rsidRDefault="006547F0" w:rsidP="009C073C">
      <w:pPr>
        <w:jc w:val="both"/>
        <w:rPr>
          <w:rFonts w:asciiTheme="minorHAnsi" w:hAnsiTheme="minorHAnsi" w:cstheme="minorHAnsi"/>
          <w:sz w:val="20"/>
          <w:lang w:val="sl-SI"/>
        </w:rPr>
      </w:pPr>
    </w:p>
    <w:sectPr w:rsidR="006547F0" w:rsidRPr="0082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652"/>
    <w:multiLevelType w:val="hybridMultilevel"/>
    <w:tmpl w:val="62FA9D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C147F"/>
    <w:multiLevelType w:val="hybridMultilevel"/>
    <w:tmpl w:val="957641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73E81"/>
    <w:multiLevelType w:val="hybridMultilevel"/>
    <w:tmpl w:val="2760E4D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E17EC4"/>
    <w:multiLevelType w:val="hybridMultilevel"/>
    <w:tmpl w:val="0EB6CC7C"/>
    <w:lvl w:ilvl="0" w:tplc="743A511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C40524"/>
    <w:multiLevelType w:val="hybridMultilevel"/>
    <w:tmpl w:val="AC0CCAEE"/>
    <w:lvl w:ilvl="0" w:tplc="738C340E">
      <w:start w:val="1"/>
      <w:numFmt w:val="bullet"/>
      <w:lvlText w:val="-"/>
      <w:lvlJc w:val="left"/>
      <w:pPr>
        <w:tabs>
          <w:tab w:val="num" w:pos="672"/>
        </w:tabs>
        <w:ind w:left="672" w:hanging="312"/>
      </w:pPr>
      <w:rPr>
        <w:rFonts w:ascii="Arial" w:hAnsi="Arial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865"/>
        </w:tabs>
        <w:ind w:left="865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585"/>
        </w:tabs>
        <w:ind w:left="158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305"/>
        </w:tabs>
        <w:ind w:left="230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025"/>
        </w:tabs>
        <w:ind w:left="3025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745"/>
        </w:tabs>
        <w:ind w:left="374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465"/>
        </w:tabs>
        <w:ind w:left="446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185"/>
        </w:tabs>
        <w:ind w:left="5185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905"/>
        </w:tabs>
        <w:ind w:left="5905" w:hanging="360"/>
      </w:pPr>
      <w:rPr>
        <w:rFonts w:ascii="Wingdings" w:hAnsi="Wingdings" w:hint="default"/>
      </w:rPr>
    </w:lvl>
  </w:abstractNum>
  <w:abstractNum w:abstractNumId="6">
    <w:nsid w:val="48FB0492"/>
    <w:multiLevelType w:val="hybridMultilevel"/>
    <w:tmpl w:val="D7E27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52AF0"/>
    <w:multiLevelType w:val="hybridMultilevel"/>
    <w:tmpl w:val="C200097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6514139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C24BE3"/>
    <w:multiLevelType w:val="hybridMultilevel"/>
    <w:tmpl w:val="2760E4D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7D92AFA"/>
    <w:multiLevelType w:val="hybridMultilevel"/>
    <w:tmpl w:val="DD3AAD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F59E2"/>
    <w:multiLevelType w:val="singleLevel"/>
    <w:tmpl w:val="11F8D8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A130764"/>
    <w:multiLevelType w:val="hybridMultilevel"/>
    <w:tmpl w:val="D7E274E8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1A0043"/>
    <w:multiLevelType w:val="hybridMultilevel"/>
    <w:tmpl w:val="69323244"/>
    <w:lvl w:ilvl="0" w:tplc="743A511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00"/>
    <w:rsid w:val="00017EE3"/>
    <w:rsid w:val="000D41A2"/>
    <w:rsid w:val="001F6AA8"/>
    <w:rsid w:val="00335BD9"/>
    <w:rsid w:val="00380445"/>
    <w:rsid w:val="005C3960"/>
    <w:rsid w:val="005D37F5"/>
    <w:rsid w:val="006547F0"/>
    <w:rsid w:val="00753BE9"/>
    <w:rsid w:val="00782B15"/>
    <w:rsid w:val="008257B2"/>
    <w:rsid w:val="00905BFD"/>
    <w:rsid w:val="009C073C"/>
    <w:rsid w:val="00A83C6A"/>
    <w:rsid w:val="00B524D8"/>
    <w:rsid w:val="00B53CDF"/>
    <w:rsid w:val="00C9737F"/>
    <w:rsid w:val="00D22CEA"/>
    <w:rsid w:val="00E107A0"/>
    <w:rsid w:val="00E36C93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32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aslov3">
    <w:name w:val="heading 3"/>
    <w:basedOn w:val="Navaden"/>
    <w:next w:val="Navaden"/>
    <w:link w:val="Naslov3Znak"/>
    <w:qFormat/>
    <w:rsid w:val="00FD3200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FD3200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D3200"/>
    <w:rPr>
      <w:color w:val="0000FF"/>
      <w:u w:val="single"/>
    </w:rPr>
  </w:style>
  <w:style w:type="paragraph" w:styleId="Odstavekseznama">
    <w:name w:val="List Paragraph"/>
    <w:aliases w:val="Odstavec1,Dot pt,No Spacing1,List Paragraph Char Char Char,Indicator Text,Numbered Para 1,List Paragraph1,Bullet 1,Bullet Points,MAIN CONTENT,OBC Bullet,List Paragraph12,F5 List Paragraph,List Paragraph11,Colorful List - Accent 11"/>
    <w:basedOn w:val="Navaden"/>
    <w:uiPriority w:val="34"/>
    <w:qFormat/>
    <w:rsid w:val="00FD3200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FD320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FD3200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Telobesedila3">
    <w:name w:val="Body Text 3"/>
    <w:basedOn w:val="Navaden"/>
    <w:link w:val="Telobesedila3Znak"/>
    <w:rsid w:val="00FD3200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FD3200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h4">
    <w:name w:val="h4"/>
    <w:basedOn w:val="Navaden"/>
    <w:rsid w:val="00FD3200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paragraph" w:styleId="Brezrazmikov">
    <w:name w:val="No Spacing"/>
    <w:basedOn w:val="Navaden"/>
    <w:uiPriority w:val="1"/>
    <w:qFormat/>
    <w:rsid w:val="00FD3200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FD3200"/>
    <w:pPr>
      <w:spacing w:after="0" w:line="240" w:lineRule="auto"/>
    </w:pPr>
    <w:rPr>
      <w:rFonts w:ascii="Calibri" w:eastAsia="Times New Roman" w:hAnsi="Calibri" w:cs="Calibri"/>
      <w:lang w:eastAsia="sl-SI"/>
    </w:rPr>
  </w:style>
  <w:style w:type="paragraph" w:customStyle="1" w:styleId="Text1">
    <w:name w:val="Text 1"/>
    <w:basedOn w:val="Navaden"/>
    <w:rsid w:val="00017EE3"/>
    <w:pPr>
      <w:spacing w:before="120" w:after="120"/>
      <w:ind w:left="850"/>
      <w:jc w:val="both"/>
    </w:pPr>
    <w:rPr>
      <w:rFonts w:eastAsiaTheme="minorHAnsi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6AA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6AA8"/>
    <w:rPr>
      <w:rFonts w:ascii="Tahoma" w:eastAsia="Times New Roman" w:hAnsi="Tahoma" w:cs="Tahoma"/>
      <w:sz w:val="16"/>
      <w:szCs w:val="16"/>
      <w:lang w:val="en-US" w:eastAsia="sl-SI"/>
    </w:rPr>
  </w:style>
  <w:style w:type="character" w:customStyle="1" w:styleId="datalabel">
    <w:name w:val="datalabel"/>
    <w:basedOn w:val="Privzetapisavaodstavka"/>
    <w:rsid w:val="005C3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32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aslov3">
    <w:name w:val="heading 3"/>
    <w:basedOn w:val="Navaden"/>
    <w:next w:val="Navaden"/>
    <w:link w:val="Naslov3Znak"/>
    <w:qFormat/>
    <w:rsid w:val="00FD3200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FD3200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D3200"/>
    <w:rPr>
      <w:color w:val="0000FF"/>
      <w:u w:val="single"/>
    </w:rPr>
  </w:style>
  <w:style w:type="paragraph" w:styleId="Odstavekseznama">
    <w:name w:val="List Paragraph"/>
    <w:aliases w:val="Odstavec1,Dot pt,No Spacing1,List Paragraph Char Char Char,Indicator Text,Numbered Para 1,List Paragraph1,Bullet 1,Bullet Points,MAIN CONTENT,OBC Bullet,List Paragraph12,F5 List Paragraph,List Paragraph11,Colorful List - Accent 11"/>
    <w:basedOn w:val="Navaden"/>
    <w:uiPriority w:val="34"/>
    <w:qFormat/>
    <w:rsid w:val="00FD3200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FD320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FD3200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Telobesedila3">
    <w:name w:val="Body Text 3"/>
    <w:basedOn w:val="Navaden"/>
    <w:link w:val="Telobesedila3Znak"/>
    <w:rsid w:val="00FD3200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FD3200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h4">
    <w:name w:val="h4"/>
    <w:basedOn w:val="Navaden"/>
    <w:rsid w:val="00FD3200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paragraph" w:styleId="Brezrazmikov">
    <w:name w:val="No Spacing"/>
    <w:basedOn w:val="Navaden"/>
    <w:uiPriority w:val="1"/>
    <w:qFormat/>
    <w:rsid w:val="00FD3200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FD3200"/>
    <w:pPr>
      <w:spacing w:after="0" w:line="240" w:lineRule="auto"/>
    </w:pPr>
    <w:rPr>
      <w:rFonts w:ascii="Calibri" w:eastAsia="Times New Roman" w:hAnsi="Calibri" w:cs="Calibri"/>
      <w:lang w:eastAsia="sl-SI"/>
    </w:rPr>
  </w:style>
  <w:style w:type="paragraph" w:customStyle="1" w:styleId="Text1">
    <w:name w:val="Text 1"/>
    <w:basedOn w:val="Navaden"/>
    <w:rsid w:val="00017EE3"/>
    <w:pPr>
      <w:spacing w:before="120" w:after="120"/>
      <w:ind w:left="850"/>
      <w:jc w:val="both"/>
    </w:pPr>
    <w:rPr>
      <w:rFonts w:eastAsiaTheme="minorHAnsi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6AA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6AA8"/>
    <w:rPr>
      <w:rFonts w:ascii="Tahoma" w:eastAsia="Times New Roman" w:hAnsi="Tahoma" w:cs="Tahoma"/>
      <w:sz w:val="16"/>
      <w:szCs w:val="16"/>
      <w:lang w:val="en-US" w:eastAsia="sl-SI"/>
    </w:rPr>
  </w:style>
  <w:style w:type="character" w:customStyle="1" w:styleId="datalabel">
    <w:name w:val="datalabel"/>
    <w:basedOn w:val="Privzetapisavaodstavka"/>
    <w:rsid w:val="005C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mop@gov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MOP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Mojca.Aljancic</dc:creator>
  <cp:lastModifiedBy>Saso.Voros</cp:lastModifiedBy>
  <cp:revision>2</cp:revision>
  <cp:lastPrinted>2021-11-03T08:38:00Z</cp:lastPrinted>
  <dcterms:created xsi:type="dcterms:W3CDTF">2021-11-03T12:24:00Z</dcterms:created>
  <dcterms:modified xsi:type="dcterms:W3CDTF">2021-11-03T12:24:00Z</dcterms:modified>
</cp:coreProperties>
</file>