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2289E" w14:textId="77777777" w:rsidR="00E72A96" w:rsidRPr="00936261" w:rsidRDefault="00936261">
      <w:pPr>
        <w:rPr>
          <w:rFonts w:ascii="Arial" w:hAnsi="Arial" w:cs="Arial"/>
          <w:b/>
        </w:rPr>
      </w:pPr>
      <w:r w:rsidRPr="00936261">
        <w:rPr>
          <w:rFonts w:ascii="Arial" w:hAnsi="Arial" w:cs="Arial"/>
          <w:b/>
        </w:rPr>
        <w:t>Priloga 3: Izračun finančnega načrta</w:t>
      </w:r>
    </w:p>
    <w:p w14:paraId="7FBD3692" w14:textId="77777777" w:rsidR="00936261" w:rsidRPr="00936261" w:rsidRDefault="00936261">
      <w:pPr>
        <w:rPr>
          <w:rFonts w:ascii="Arial" w:hAnsi="Arial" w:cs="Arial"/>
        </w:rPr>
      </w:pPr>
    </w:p>
    <w:p w14:paraId="18E384F0" w14:textId="77777777" w:rsidR="00936261" w:rsidRPr="00936261" w:rsidRDefault="00936261">
      <w:pPr>
        <w:rPr>
          <w:rFonts w:ascii="Arial" w:hAnsi="Arial" w:cs="Arial"/>
        </w:rPr>
      </w:pPr>
      <w:r w:rsidRPr="00936261">
        <w:rPr>
          <w:rFonts w:ascii="Arial" w:hAnsi="Arial" w:cs="Arial"/>
        </w:rPr>
        <w:t>Finančni načrt iz šestega odstavka 7. člena Uredbe se izračuna na podlagi izhodišč:</w:t>
      </w:r>
    </w:p>
    <w:p w14:paraId="6B6FB570" w14:textId="77777777" w:rsidR="00936261" w:rsidRPr="00936261" w:rsidRDefault="00936261">
      <w:pPr>
        <w:rPr>
          <w:rFonts w:ascii="Arial" w:hAnsi="Arial" w:cs="Arial"/>
          <w:b/>
        </w:rPr>
      </w:pPr>
      <w:r w:rsidRPr="00936261">
        <w:rPr>
          <w:rFonts w:ascii="Arial" w:hAnsi="Arial" w:cs="Arial"/>
          <w:b/>
        </w:rPr>
        <w:t>Finančni okvir sklada EKSRP = (število prebivalcev LAS * vrednost točke) + (površina LAS * vrednost točke) + (</w:t>
      </w:r>
      <w:r w:rsidR="00785406" w:rsidRPr="00936261">
        <w:rPr>
          <w:rFonts w:ascii="Arial" w:hAnsi="Arial" w:cs="Arial"/>
          <w:b/>
        </w:rPr>
        <w:t xml:space="preserve">vrednost točke </w:t>
      </w:r>
      <w:r w:rsidR="00785406">
        <w:rPr>
          <w:rFonts w:ascii="Arial" w:hAnsi="Arial" w:cs="Arial"/>
          <w:b/>
        </w:rPr>
        <w:t>/ razvitost občin</w:t>
      </w:r>
      <w:r w:rsidRPr="00936261">
        <w:rPr>
          <w:rFonts w:ascii="Arial" w:hAnsi="Arial" w:cs="Arial"/>
          <w:b/>
        </w:rPr>
        <w:t>) + osnova na LAS.</w:t>
      </w:r>
    </w:p>
    <w:p w14:paraId="37908A1E" w14:textId="77777777" w:rsidR="00936261" w:rsidRPr="00155885" w:rsidRDefault="00A84C57">
      <w:pPr>
        <w:rPr>
          <w:rFonts w:ascii="Arial" w:hAnsi="Arial" w:cs="Arial"/>
          <w:b/>
        </w:rPr>
      </w:pPr>
      <w:r w:rsidRPr="00155885">
        <w:rPr>
          <w:rFonts w:ascii="Arial" w:hAnsi="Arial" w:cs="Arial"/>
          <w:b/>
        </w:rPr>
        <w:t>Vrednost točke za izračun finančnega okvirja EKSRP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84C57" w14:paraId="76DB8489" w14:textId="77777777" w:rsidTr="00A84C57">
        <w:tc>
          <w:tcPr>
            <w:tcW w:w="2265" w:type="dxa"/>
          </w:tcPr>
          <w:p w14:paraId="3F0F6143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C13224D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517D172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Število/koeficient razvitosti</w:t>
            </w:r>
          </w:p>
        </w:tc>
        <w:tc>
          <w:tcPr>
            <w:tcW w:w="2266" w:type="dxa"/>
          </w:tcPr>
          <w:p w14:paraId="4DCAC45A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Vrednost (v EUR)</w:t>
            </w:r>
          </w:p>
        </w:tc>
      </w:tr>
      <w:tr w:rsidR="00A84C57" w14:paraId="791989B9" w14:textId="77777777" w:rsidTr="00A84C57">
        <w:tc>
          <w:tcPr>
            <w:tcW w:w="2265" w:type="dxa"/>
          </w:tcPr>
          <w:p w14:paraId="5E7885C9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265" w:type="dxa"/>
          </w:tcPr>
          <w:p w14:paraId="50B16056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Prebivalec</w:t>
            </w:r>
          </w:p>
        </w:tc>
        <w:tc>
          <w:tcPr>
            <w:tcW w:w="2266" w:type="dxa"/>
          </w:tcPr>
          <w:p w14:paraId="3FC9A7CC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6" w:type="dxa"/>
          </w:tcPr>
          <w:p w14:paraId="36370DCF" w14:textId="5E1B1344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</w:tr>
      <w:tr w:rsidR="00A84C57" w14:paraId="25817356" w14:textId="77777777" w:rsidTr="00A84C57">
        <w:tc>
          <w:tcPr>
            <w:tcW w:w="2265" w:type="dxa"/>
          </w:tcPr>
          <w:p w14:paraId="63C58201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265" w:type="dxa"/>
          </w:tcPr>
          <w:p w14:paraId="2B194DAF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Površina (v km²)</w:t>
            </w:r>
          </w:p>
        </w:tc>
        <w:tc>
          <w:tcPr>
            <w:tcW w:w="2266" w:type="dxa"/>
          </w:tcPr>
          <w:p w14:paraId="04C60CF1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6" w:type="dxa"/>
          </w:tcPr>
          <w:p w14:paraId="3CEB2F46" w14:textId="4FBF0DF0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</w:tr>
      <w:tr w:rsidR="00A84C57" w14:paraId="14839A81" w14:textId="77777777" w:rsidTr="00A84C57">
        <w:tc>
          <w:tcPr>
            <w:tcW w:w="2265" w:type="dxa"/>
            <w:vMerge w:val="restart"/>
          </w:tcPr>
          <w:p w14:paraId="72327B16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  <w:p w14:paraId="15A8FAD3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265" w:type="dxa"/>
            <w:vMerge w:val="restart"/>
          </w:tcPr>
          <w:p w14:paraId="0EAB1FA3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  <w:p w14:paraId="55E95F6B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Razvitost občin</w:t>
            </w:r>
          </w:p>
        </w:tc>
        <w:tc>
          <w:tcPr>
            <w:tcW w:w="2266" w:type="dxa"/>
          </w:tcPr>
          <w:p w14:paraId="74FE7657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vključno 0,99</w:t>
            </w:r>
          </w:p>
        </w:tc>
        <w:tc>
          <w:tcPr>
            <w:tcW w:w="2266" w:type="dxa"/>
          </w:tcPr>
          <w:p w14:paraId="610EEC14" w14:textId="6F86A227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</w:tr>
      <w:tr w:rsidR="00A84C57" w14:paraId="0CC9A445" w14:textId="77777777" w:rsidTr="00A84C57">
        <w:tc>
          <w:tcPr>
            <w:tcW w:w="2265" w:type="dxa"/>
            <w:vMerge/>
          </w:tcPr>
          <w:p w14:paraId="17CAF52C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vMerge/>
          </w:tcPr>
          <w:p w14:paraId="602C5633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FF3CBBB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1,00-1,15</w:t>
            </w:r>
          </w:p>
        </w:tc>
        <w:tc>
          <w:tcPr>
            <w:tcW w:w="2266" w:type="dxa"/>
          </w:tcPr>
          <w:p w14:paraId="66DB794E" w14:textId="1B079693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</w:tr>
      <w:tr w:rsidR="00A84C57" w14:paraId="089D1C5B" w14:textId="77777777" w:rsidTr="00A84C57">
        <w:tc>
          <w:tcPr>
            <w:tcW w:w="2265" w:type="dxa"/>
            <w:vMerge/>
          </w:tcPr>
          <w:p w14:paraId="2EAF9301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vMerge/>
          </w:tcPr>
          <w:p w14:paraId="20A76016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01DF3D9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1,16-1,35</w:t>
            </w:r>
          </w:p>
        </w:tc>
        <w:tc>
          <w:tcPr>
            <w:tcW w:w="2266" w:type="dxa"/>
          </w:tcPr>
          <w:p w14:paraId="2820AD17" w14:textId="0D28482B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</w:tr>
      <w:tr w:rsidR="00A84C57" w14:paraId="59014555" w14:textId="77777777" w:rsidTr="00A84C57">
        <w:tc>
          <w:tcPr>
            <w:tcW w:w="2265" w:type="dxa"/>
          </w:tcPr>
          <w:p w14:paraId="0E55901A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265" w:type="dxa"/>
          </w:tcPr>
          <w:p w14:paraId="0385DC0A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Osnova na LAS</w:t>
            </w:r>
          </w:p>
        </w:tc>
        <w:tc>
          <w:tcPr>
            <w:tcW w:w="2266" w:type="dxa"/>
          </w:tcPr>
          <w:p w14:paraId="41570DA7" w14:textId="77777777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3B384FA" w14:textId="5D654707" w:rsidR="00A84C57" w:rsidRDefault="00A84C57" w:rsidP="00A84C5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CDB7E8" w14:textId="77777777" w:rsidR="00A84C57" w:rsidRDefault="00A84C57">
      <w:pPr>
        <w:rPr>
          <w:rFonts w:ascii="Arial" w:hAnsi="Arial" w:cs="Arial"/>
        </w:rPr>
      </w:pPr>
    </w:p>
    <w:p w14:paraId="0F14F396" w14:textId="77777777" w:rsidR="00936261" w:rsidRDefault="00936261">
      <w:pPr>
        <w:rPr>
          <w:rFonts w:ascii="Arial" w:hAnsi="Arial" w:cs="Arial"/>
          <w:b/>
        </w:rPr>
      </w:pPr>
      <w:r w:rsidRPr="00936261">
        <w:rPr>
          <w:rFonts w:ascii="Arial" w:hAnsi="Arial" w:cs="Arial"/>
          <w:b/>
        </w:rPr>
        <w:t>Opis metodologije:</w:t>
      </w:r>
    </w:p>
    <w:p w14:paraId="31D16CBA" w14:textId="77777777" w:rsidR="00785406" w:rsidRPr="00785406" w:rsidRDefault="00785406">
      <w:pPr>
        <w:rPr>
          <w:rFonts w:ascii="Arial" w:hAnsi="Arial" w:cs="Arial"/>
        </w:rPr>
      </w:pPr>
      <w:r w:rsidRPr="00785406">
        <w:rPr>
          <w:rFonts w:ascii="Arial" w:hAnsi="Arial" w:cs="Arial"/>
        </w:rPr>
        <w:t>Metodologija je priprav</w:t>
      </w:r>
      <w:r>
        <w:rPr>
          <w:rFonts w:ascii="Arial" w:hAnsi="Arial" w:cs="Arial"/>
        </w:rPr>
        <w:t xml:space="preserve">ljena na podlagi načrtovanih sredstev </w:t>
      </w:r>
      <w:r w:rsidRPr="00785406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intervencijo LEADER</w:t>
      </w:r>
      <w:r w:rsidRPr="00785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785406">
        <w:rPr>
          <w:rFonts w:ascii="Arial" w:hAnsi="Arial" w:cs="Arial"/>
        </w:rPr>
        <w:t>sklad EKSRP</w:t>
      </w:r>
      <w:r>
        <w:rPr>
          <w:rFonts w:ascii="Arial" w:hAnsi="Arial" w:cs="Arial"/>
        </w:rPr>
        <w:t>)</w:t>
      </w:r>
      <w:r w:rsidRPr="00785406">
        <w:rPr>
          <w:rFonts w:ascii="Arial" w:hAnsi="Arial" w:cs="Arial"/>
        </w:rPr>
        <w:t>.</w:t>
      </w:r>
    </w:p>
    <w:p w14:paraId="4A44EDFE" w14:textId="77777777" w:rsidR="00936261" w:rsidRPr="00155885" w:rsidRDefault="00936261">
      <w:pPr>
        <w:rPr>
          <w:rFonts w:ascii="Arial" w:hAnsi="Arial" w:cs="Arial"/>
          <w:b/>
        </w:rPr>
      </w:pPr>
      <w:r w:rsidRPr="00155885">
        <w:rPr>
          <w:rFonts w:ascii="Arial" w:hAnsi="Arial" w:cs="Arial"/>
          <w:b/>
        </w:rPr>
        <w:t>Prebivalec</w:t>
      </w:r>
    </w:p>
    <w:p w14:paraId="516AFB9E" w14:textId="27287F9D" w:rsidR="00936261" w:rsidRDefault="00155885" w:rsidP="00155885">
      <w:pPr>
        <w:jc w:val="both"/>
        <w:rPr>
          <w:rFonts w:ascii="Arial" w:hAnsi="Arial" w:cs="Arial"/>
        </w:rPr>
      </w:pPr>
      <w:r w:rsidRPr="00155885">
        <w:rPr>
          <w:rFonts w:ascii="Arial" w:hAnsi="Arial" w:cs="Arial"/>
        </w:rPr>
        <w:t xml:space="preserve">Število prebivalcev, ki so vključeni v posamezni LAS, se pomnoži z zneskom </w:t>
      </w:r>
      <w:r>
        <w:rPr>
          <w:rFonts w:ascii="Arial" w:hAnsi="Arial" w:cs="Arial"/>
        </w:rPr>
        <w:t xml:space="preserve">iz stolpca vrednost (v EUR). Za </w:t>
      </w:r>
      <w:r w:rsidRPr="00155885">
        <w:rPr>
          <w:rFonts w:ascii="Arial" w:hAnsi="Arial" w:cs="Arial"/>
        </w:rPr>
        <w:t>izračun števila prebivalcev se uporabijo podatki Statističnega urada Rep</w:t>
      </w:r>
      <w:r>
        <w:rPr>
          <w:rFonts w:ascii="Arial" w:hAnsi="Arial" w:cs="Arial"/>
        </w:rPr>
        <w:t xml:space="preserve">ublike Slovenije (v nadaljevanju SURS) po naseljih na datum </w:t>
      </w:r>
      <w:r w:rsidR="00F61EB6">
        <w:rPr>
          <w:rFonts w:ascii="Arial" w:hAnsi="Arial" w:cs="Arial"/>
        </w:rPr>
        <w:t>XX. XX.</w:t>
      </w:r>
      <w:r>
        <w:rPr>
          <w:rFonts w:ascii="Arial" w:hAnsi="Arial" w:cs="Arial"/>
        </w:rPr>
        <w:t xml:space="preserve"> 20</w:t>
      </w:r>
      <w:r w:rsidR="00F61EB6">
        <w:rPr>
          <w:rFonts w:ascii="Arial" w:hAnsi="Arial" w:cs="Arial"/>
        </w:rPr>
        <w:t>XX</w:t>
      </w:r>
      <w:r w:rsidRPr="00155885">
        <w:rPr>
          <w:rFonts w:ascii="Arial" w:hAnsi="Arial" w:cs="Arial"/>
        </w:rPr>
        <w:t>. V izračun se ne šteje</w:t>
      </w:r>
      <w:r>
        <w:rPr>
          <w:rFonts w:ascii="Arial" w:hAnsi="Arial" w:cs="Arial"/>
        </w:rPr>
        <w:t xml:space="preserve">jo naselja s </w:t>
      </w:r>
      <w:bookmarkStart w:id="0" w:name="_GoBack"/>
      <w:bookmarkEnd w:id="0"/>
      <w:r w:rsidRPr="00D1046B">
        <w:rPr>
          <w:rFonts w:ascii="Arial" w:hAnsi="Arial" w:cs="Arial"/>
        </w:rPr>
        <w:t xml:space="preserve">seznama v </w:t>
      </w:r>
      <w:r w:rsidR="00B502AF" w:rsidRPr="00D1046B">
        <w:rPr>
          <w:rFonts w:ascii="Arial" w:hAnsi="Arial" w:cs="Arial"/>
        </w:rPr>
        <w:t>Priloge 2</w:t>
      </w:r>
      <w:r w:rsidRPr="00D1046B">
        <w:rPr>
          <w:rFonts w:ascii="Arial" w:hAnsi="Arial" w:cs="Arial"/>
        </w:rPr>
        <w:t xml:space="preserve"> te uredbe</w:t>
      </w:r>
      <w:r w:rsidRPr="00155885">
        <w:rPr>
          <w:rFonts w:ascii="Arial" w:hAnsi="Arial" w:cs="Arial"/>
        </w:rPr>
        <w:t>.</w:t>
      </w:r>
    </w:p>
    <w:p w14:paraId="1043CE25" w14:textId="77777777" w:rsidR="00155885" w:rsidRDefault="00155885" w:rsidP="0015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Izračun</w:t>
      </w:r>
      <w:r w:rsidR="00334567">
        <w:rPr>
          <w:rFonts w:ascii="Arial" w:hAnsi="Arial" w:cs="Arial"/>
        </w:rPr>
        <w:t>:</w:t>
      </w:r>
    </w:p>
    <w:p w14:paraId="14480A94" w14:textId="6BF9886A" w:rsidR="00155885" w:rsidRDefault="00155885" w:rsidP="00155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8D491D">
        <w:rPr>
          <w:rFonts w:ascii="Arial" w:hAnsi="Arial" w:cs="Arial"/>
        </w:rPr>
        <w:t>= število prebivalcev LAS x __</w:t>
      </w:r>
      <w:r>
        <w:rPr>
          <w:rFonts w:ascii="Arial" w:hAnsi="Arial" w:cs="Arial"/>
        </w:rPr>
        <w:t xml:space="preserve"> EUR</w:t>
      </w:r>
    </w:p>
    <w:p w14:paraId="2ACA9EE4" w14:textId="77777777" w:rsidR="00936261" w:rsidRPr="00334567" w:rsidRDefault="00936261">
      <w:pPr>
        <w:rPr>
          <w:rFonts w:ascii="Arial" w:hAnsi="Arial" w:cs="Arial"/>
          <w:b/>
        </w:rPr>
      </w:pPr>
      <w:r w:rsidRPr="00334567">
        <w:rPr>
          <w:rFonts w:ascii="Arial" w:hAnsi="Arial" w:cs="Arial"/>
          <w:b/>
        </w:rPr>
        <w:t>Površina LAS</w:t>
      </w:r>
    </w:p>
    <w:p w14:paraId="3A3E637A" w14:textId="45FAC6E0" w:rsidR="00936261" w:rsidRDefault="00155885" w:rsidP="00334567">
      <w:pPr>
        <w:jc w:val="both"/>
        <w:rPr>
          <w:rFonts w:ascii="Arial" w:hAnsi="Arial" w:cs="Arial"/>
        </w:rPr>
      </w:pPr>
      <w:r w:rsidRPr="00155885">
        <w:rPr>
          <w:rFonts w:ascii="Arial" w:hAnsi="Arial" w:cs="Arial"/>
        </w:rPr>
        <w:t>Površina (v km</w:t>
      </w:r>
      <w:r w:rsidR="00334567" w:rsidRPr="00334567">
        <w:rPr>
          <w:rFonts w:ascii="Arial" w:hAnsi="Arial" w:cs="Arial"/>
        </w:rPr>
        <w:t>²</w:t>
      </w:r>
      <w:r w:rsidRPr="00155885">
        <w:rPr>
          <w:rFonts w:ascii="Arial" w:hAnsi="Arial" w:cs="Arial"/>
        </w:rPr>
        <w:t xml:space="preserve">), ki jo pokriva posamezni LAS, se pomnoži z zneskom </w:t>
      </w:r>
      <w:r>
        <w:rPr>
          <w:rFonts w:ascii="Arial" w:hAnsi="Arial" w:cs="Arial"/>
        </w:rPr>
        <w:t xml:space="preserve">iz stolpca vrednost (v EUR). Za </w:t>
      </w:r>
      <w:r w:rsidRPr="00155885">
        <w:rPr>
          <w:rFonts w:ascii="Arial" w:hAnsi="Arial" w:cs="Arial"/>
        </w:rPr>
        <w:t>izračun površine LAS se upoštevajo podatki SURS – velikost občin</w:t>
      </w:r>
      <w:r w:rsidR="00F61EB6">
        <w:rPr>
          <w:rFonts w:ascii="Arial" w:hAnsi="Arial" w:cs="Arial"/>
        </w:rPr>
        <w:t>.</w:t>
      </w:r>
    </w:p>
    <w:p w14:paraId="067B0036" w14:textId="77777777" w:rsidR="00334567" w:rsidRDefault="00334567" w:rsidP="00155885">
      <w:pPr>
        <w:rPr>
          <w:rFonts w:ascii="Arial" w:hAnsi="Arial" w:cs="Arial"/>
        </w:rPr>
      </w:pPr>
      <w:r>
        <w:rPr>
          <w:rFonts w:ascii="Arial" w:hAnsi="Arial" w:cs="Arial"/>
        </w:rPr>
        <w:t>Izračun:</w:t>
      </w:r>
    </w:p>
    <w:p w14:paraId="37C3D6A2" w14:textId="471AC774" w:rsidR="00334567" w:rsidRDefault="00334567" w:rsidP="001558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 = površina LAS x </w:t>
      </w:r>
      <w:r w:rsidR="008D491D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EUR</w:t>
      </w:r>
    </w:p>
    <w:p w14:paraId="6F0DD579" w14:textId="77777777" w:rsidR="00936261" w:rsidRPr="00334567" w:rsidRDefault="00936261">
      <w:pPr>
        <w:rPr>
          <w:rFonts w:ascii="Arial" w:hAnsi="Arial" w:cs="Arial"/>
          <w:b/>
        </w:rPr>
      </w:pPr>
      <w:r w:rsidRPr="00334567">
        <w:rPr>
          <w:rFonts w:ascii="Arial" w:hAnsi="Arial" w:cs="Arial"/>
          <w:b/>
        </w:rPr>
        <w:t>Koeficient razvitosti občin</w:t>
      </w:r>
    </w:p>
    <w:p w14:paraId="00C36DE2" w14:textId="68A664F8" w:rsidR="00936261" w:rsidRDefault="00334567" w:rsidP="00334567">
      <w:pPr>
        <w:jc w:val="both"/>
        <w:rPr>
          <w:rFonts w:ascii="Arial" w:hAnsi="Arial" w:cs="Arial"/>
        </w:rPr>
      </w:pPr>
      <w:r w:rsidRPr="00334567">
        <w:rPr>
          <w:rFonts w:ascii="Arial" w:hAnsi="Arial" w:cs="Arial"/>
        </w:rPr>
        <w:t xml:space="preserve">Za določanje razvitosti občin se uporablja Uredba o metodologiji za določitev </w:t>
      </w:r>
      <w:r>
        <w:rPr>
          <w:rFonts w:ascii="Arial" w:hAnsi="Arial" w:cs="Arial"/>
        </w:rPr>
        <w:t xml:space="preserve">razvitosti občin, ki jo sprejme </w:t>
      </w:r>
      <w:r w:rsidRPr="00334567">
        <w:rPr>
          <w:rFonts w:ascii="Arial" w:hAnsi="Arial" w:cs="Arial"/>
        </w:rPr>
        <w:t>Vlada Republike Slovenije v skladu z zakonom, ki ureja financiranje obči</w:t>
      </w:r>
      <w:r>
        <w:rPr>
          <w:rFonts w:ascii="Arial" w:hAnsi="Arial" w:cs="Arial"/>
        </w:rPr>
        <w:t xml:space="preserve">n. Razvitost občin se določi na </w:t>
      </w:r>
      <w:r w:rsidRPr="00334567">
        <w:rPr>
          <w:rFonts w:ascii="Arial" w:hAnsi="Arial" w:cs="Arial"/>
        </w:rPr>
        <w:t xml:space="preserve">podlagi kazalnikov razvitosti občine (bruto dodana vrednost gospodarskih </w:t>
      </w:r>
      <w:r>
        <w:rPr>
          <w:rFonts w:ascii="Arial" w:hAnsi="Arial" w:cs="Arial"/>
        </w:rPr>
        <w:t xml:space="preserve">družb na zaposlenega, osnova za </w:t>
      </w:r>
      <w:r w:rsidRPr="00334567">
        <w:rPr>
          <w:rFonts w:ascii="Arial" w:hAnsi="Arial" w:cs="Arial"/>
        </w:rPr>
        <w:t xml:space="preserve">dohodnino na prebivalca občine in število delovnih mest na število delovno </w:t>
      </w:r>
      <w:r>
        <w:rPr>
          <w:rFonts w:ascii="Arial" w:hAnsi="Arial" w:cs="Arial"/>
        </w:rPr>
        <w:t xml:space="preserve">aktivnega prebivalstva občine), </w:t>
      </w:r>
      <w:r w:rsidRPr="00334567">
        <w:rPr>
          <w:rFonts w:ascii="Arial" w:hAnsi="Arial" w:cs="Arial"/>
        </w:rPr>
        <w:t>kazalnikov ogroženosti občine (indeks staranja prebivalstva občine ter stopnja registriran</w:t>
      </w:r>
      <w:r>
        <w:rPr>
          <w:rFonts w:ascii="Arial" w:hAnsi="Arial" w:cs="Arial"/>
        </w:rPr>
        <w:t xml:space="preserve">e brezposelnosti in </w:t>
      </w:r>
      <w:r w:rsidRPr="00334567">
        <w:rPr>
          <w:rFonts w:ascii="Arial" w:hAnsi="Arial" w:cs="Arial"/>
        </w:rPr>
        <w:t xml:space="preserve">stopnja delovne aktivnosti </w:t>
      </w:r>
      <w:r>
        <w:rPr>
          <w:rFonts w:ascii="Arial" w:hAnsi="Arial" w:cs="Arial"/>
        </w:rPr>
        <w:t>v</w:t>
      </w:r>
      <w:r w:rsidRPr="00334567">
        <w:rPr>
          <w:rFonts w:ascii="Arial" w:hAnsi="Arial" w:cs="Arial"/>
        </w:rPr>
        <w:t xml:space="preserve"> občin</w:t>
      </w:r>
      <w:r>
        <w:rPr>
          <w:rFonts w:ascii="Arial" w:hAnsi="Arial" w:cs="Arial"/>
        </w:rPr>
        <w:t>i</w:t>
      </w:r>
      <w:r w:rsidRPr="00334567">
        <w:rPr>
          <w:rFonts w:ascii="Arial" w:hAnsi="Arial" w:cs="Arial"/>
        </w:rPr>
        <w:t>) in kazalnikov razvojnih možnosti (oskrbljenost z dobrinami in</w:t>
      </w:r>
      <w:r>
        <w:rPr>
          <w:rFonts w:ascii="Arial" w:hAnsi="Arial" w:cs="Arial"/>
        </w:rPr>
        <w:t xml:space="preserve"> </w:t>
      </w:r>
      <w:r w:rsidRPr="00334567">
        <w:rPr>
          <w:rFonts w:ascii="Arial" w:hAnsi="Arial" w:cs="Arial"/>
        </w:rPr>
        <w:t>storitvami javnih komunalnih služb (</w:t>
      </w:r>
      <w:r>
        <w:rPr>
          <w:rFonts w:ascii="Arial" w:hAnsi="Arial" w:cs="Arial"/>
        </w:rPr>
        <w:t xml:space="preserve">stopnja </w:t>
      </w:r>
      <w:proofErr w:type="spellStart"/>
      <w:r>
        <w:rPr>
          <w:rFonts w:ascii="Arial" w:hAnsi="Arial" w:cs="Arial"/>
        </w:rPr>
        <w:t>priključenosti</w:t>
      </w:r>
      <w:proofErr w:type="spellEnd"/>
      <w:r>
        <w:rPr>
          <w:rFonts w:ascii="Arial" w:hAnsi="Arial" w:cs="Arial"/>
        </w:rPr>
        <w:t xml:space="preserve"> na javno kanalizacijsko omrežje po aglomeracijah</w:t>
      </w:r>
      <w:r w:rsidRPr="00334567">
        <w:rPr>
          <w:rFonts w:ascii="Arial" w:hAnsi="Arial" w:cs="Arial"/>
        </w:rPr>
        <w:t>), opremljenost</w:t>
      </w:r>
      <w:r>
        <w:rPr>
          <w:rFonts w:ascii="Arial" w:hAnsi="Arial" w:cs="Arial"/>
        </w:rPr>
        <w:t xml:space="preserve"> </w:t>
      </w:r>
      <w:r w:rsidRPr="00334567">
        <w:rPr>
          <w:rFonts w:ascii="Arial" w:hAnsi="Arial" w:cs="Arial"/>
        </w:rPr>
        <w:t>s kulturno infrastrukturo (kulturni spomeniki in objekti javne kulturne infras</w:t>
      </w:r>
      <w:r>
        <w:rPr>
          <w:rFonts w:ascii="Arial" w:hAnsi="Arial" w:cs="Arial"/>
        </w:rPr>
        <w:t xml:space="preserve">trukture), delež območij Natura </w:t>
      </w:r>
      <w:r w:rsidRPr="00334567">
        <w:rPr>
          <w:rFonts w:ascii="Arial" w:hAnsi="Arial" w:cs="Arial"/>
        </w:rPr>
        <w:t>2000 v obč</w:t>
      </w:r>
      <w:r>
        <w:rPr>
          <w:rFonts w:ascii="Arial" w:hAnsi="Arial" w:cs="Arial"/>
        </w:rPr>
        <w:t xml:space="preserve">ini in poseljenost občine). Pri </w:t>
      </w:r>
      <w:r w:rsidRPr="00334567">
        <w:rPr>
          <w:rFonts w:ascii="Arial" w:hAnsi="Arial" w:cs="Arial"/>
        </w:rPr>
        <w:t xml:space="preserve">določitvi </w:t>
      </w:r>
      <w:r w:rsidRPr="00334567">
        <w:rPr>
          <w:rFonts w:ascii="Arial" w:hAnsi="Arial" w:cs="Arial"/>
        </w:rPr>
        <w:lastRenderedPageBreak/>
        <w:t>finančnega okvir</w:t>
      </w:r>
      <w:r>
        <w:rPr>
          <w:rFonts w:ascii="Arial" w:hAnsi="Arial" w:cs="Arial"/>
        </w:rPr>
        <w:t>j</w:t>
      </w:r>
      <w:r w:rsidRPr="00334567">
        <w:rPr>
          <w:rFonts w:ascii="Arial" w:hAnsi="Arial" w:cs="Arial"/>
        </w:rPr>
        <w:t>a ob pot</w:t>
      </w:r>
      <w:r>
        <w:rPr>
          <w:rFonts w:ascii="Arial" w:hAnsi="Arial" w:cs="Arial"/>
        </w:rPr>
        <w:t xml:space="preserve">rditvi SLR in LAS se upoštevajo </w:t>
      </w:r>
      <w:r w:rsidRPr="00334567">
        <w:rPr>
          <w:rFonts w:ascii="Arial" w:hAnsi="Arial" w:cs="Arial"/>
        </w:rPr>
        <w:t>Koeficien</w:t>
      </w:r>
      <w:r>
        <w:rPr>
          <w:rFonts w:ascii="Arial" w:hAnsi="Arial" w:cs="Arial"/>
        </w:rPr>
        <w:t>ti razvitosti občin za leto 2022 in 2023</w:t>
      </w:r>
      <w:r w:rsidR="00B502AF">
        <w:rPr>
          <w:rFonts w:ascii="Arial" w:hAnsi="Arial" w:cs="Arial"/>
        </w:rPr>
        <w:t xml:space="preserve">, objavljeni na spletni strani </w:t>
      </w:r>
      <w:r w:rsidR="00B502AF" w:rsidRPr="00B502AF">
        <w:rPr>
          <w:rFonts w:ascii="Arial" w:hAnsi="Arial" w:cs="Arial"/>
        </w:rPr>
        <w:t>https://www</w:t>
      </w:r>
      <w:r w:rsidR="00B502AF">
        <w:rPr>
          <w:rFonts w:ascii="Arial" w:hAnsi="Arial" w:cs="Arial"/>
        </w:rPr>
        <w:t>.gov.si/teme/financiranje-obcin.</w:t>
      </w:r>
    </w:p>
    <w:p w14:paraId="645B325E" w14:textId="77777777" w:rsidR="00D92EE1" w:rsidRDefault="00D92EE1" w:rsidP="003345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Izračun:</w:t>
      </w:r>
    </w:p>
    <w:p w14:paraId="19A833FE" w14:textId="74F2D7DA" w:rsidR="00D92EE1" w:rsidRDefault="00D92EE1" w:rsidP="003345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Seštevek vrednosti glede na umestitev posamezne občine pod določeni koeficient .</w:t>
      </w:r>
    </w:p>
    <w:p w14:paraId="64DF4F2B" w14:textId="4FD97A47" w:rsidR="00D92EE1" w:rsidRDefault="00D92EE1" w:rsidP="003345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 = (</w:t>
      </w:r>
      <w:r w:rsidR="008D491D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EUR / št. občin s koeficientom do vključno 0,99) + (</w:t>
      </w:r>
      <w:r w:rsidR="008D491D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/ št. občin s koeficientom od 1,00 do 1,15) + (</w:t>
      </w:r>
      <w:r w:rsidR="008D491D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/ št. občin s koeficientom od 1,16 do 1,35)</w:t>
      </w:r>
    </w:p>
    <w:p w14:paraId="65ED11CA" w14:textId="77777777" w:rsidR="00936261" w:rsidRPr="00D92EE1" w:rsidRDefault="00936261">
      <w:pPr>
        <w:rPr>
          <w:rFonts w:ascii="Arial" w:hAnsi="Arial" w:cs="Arial"/>
          <w:b/>
        </w:rPr>
      </w:pPr>
      <w:r w:rsidRPr="00D92EE1">
        <w:rPr>
          <w:rFonts w:ascii="Arial" w:hAnsi="Arial" w:cs="Arial"/>
          <w:b/>
        </w:rPr>
        <w:t>Osnova na LAS</w:t>
      </w:r>
    </w:p>
    <w:p w14:paraId="52D0652C" w14:textId="60C3341A" w:rsidR="00D92EE1" w:rsidRDefault="00D92E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Osnova na LAS </w:t>
      </w:r>
      <w:r w:rsidR="008D491D">
        <w:rPr>
          <w:rFonts w:ascii="Arial" w:hAnsi="Arial" w:cs="Arial"/>
        </w:rPr>
        <w:t>je odvisna od števila potrjenih SLR in se razdeli med LAS.</w:t>
      </w:r>
    </w:p>
    <w:p w14:paraId="1FC62D51" w14:textId="77777777" w:rsidR="00D92EE1" w:rsidRDefault="00D92EE1">
      <w:pPr>
        <w:rPr>
          <w:rFonts w:ascii="Arial" w:hAnsi="Arial" w:cs="Arial"/>
        </w:rPr>
      </w:pPr>
      <w:r>
        <w:rPr>
          <w:rFonts w:ascii="Arial" w:hAnsi="Arial" w:cs="Arial"/>
        </w:rPr>
        <w:t>Izračun:</w:t>
      </w:r>
    </w:p>
    <w:p w14:paraId="10C53839" w14:textId="59BC49B6" w:rsidR="00D92EE1" w:rsidRPr="00936261" w:rsidRDefault="00D92E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="008D491D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EUR</w:t>
      </w:r>
      <w:r w:rsidR="008D491D">
        <w:rPr>
          <w:rFonts w:ascii="Arial" w:hAnsi="Arial" w:cs="Arial"/>
        </w:rPr>
        <w:t xml:space="preserve"> / </w:t>
      </w:r>
      <w:r w:rsidR="003F3FBB">
        <w:rPr>
          <w:rFonts w:ascii="Arial" w:hAnsi="Arial" w:cs="Arial"/>
        </w:rPr>
        <w:t xml:space="preserve"> X </w:t>
      </w:r>
      <w:r w:rsidR="008D491D">
        <w:rPr>
          <w:rFonts w:ascii="Arial" w:hAnsi="Arial" w:cs="Arial"/>
        </w:rPr>
        <w:t>št. potrjenih LAS</w:t>
      </w:r>
    </w:p>
    <w:sectPr w:rsidR="00D92EE1" w:rsidRPr="00936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61"/>
    <w:rsid w:val="00155885"/>
    <w:rsid w:val="00334567"/>
    <w:rsid w:val="003F3FBB"/>
    <w:rsid w:val="00785406"/>
    <w:rsid w:val="008A20F1"/>
    <w:rsid w:val="008D491D"/>
    <w:rsid w:val="00936261"/>
    <w:rsid w:val="009416F7"/>
    <w:rsid w:val="00A84C57"/>
    <w:rsid w:val="00B502AF"/>
    <w:rsid w:val="00C66F12"/>
    <w:rsid w:val="00D02089"/>
    <w:rsid w:val="00D1046B"/>
    <w:rsid w:val="00D92EE1"/>
    <w:rsid w:val="00E72A96"/>
    <w:rsid w:val="00F6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76B0"/>
  <w15:chartTrackingRefBased/>
  <w15:docId w15:val="{E0E77B46-BEBD-4EF1-94E6-05DE9865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84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B502A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02A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02A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02A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02A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0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0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Jerič</dc:creator>
  <cp:keywords/>
  <dc:description/>
  <cp:lastModifiedBy>Marjeta Jerič</cp:lastModifiedBy>
  <cp:revision>9</cp:revision>
  <dcterms:created xsi:type="dcterms:W3CDTF">2022-05-09T11:23:00Z</dcterms:created>
  <dcterms:modified xsi:type="dcterms:W3CDTF">2022-07-15T06:14:00Z</dcterms:modified>
</cp:coreProperties>
</file>