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7F" w:rsidRPr="003E4BD6" w:rsidRDefault="00591183">
      <w:pPr>
        <w:rPr>
          <w:rFonts w:ascii="Arial" w:hAnsi="Arial" w:cs="Arial"/>
          <w:b/>
        </w:rPr>
      </w:pPr>
      <w:r w:rsidRPr="003E4BD6">
        <w:rPr>
          <w:rFonts w:ascii="Arial" w:hAnsi="Arial" w:cs="Arial"/>
          <w:b/>
        </w:rPr>
        <w:t xml:space="preserve">Priloga </w:t>
      </w:r>
      <w:r w:rsidR="00C830A8">
        <w:rPr>
          <w:rFonts w:ascii="Arial" w:hAnsi="Arial" w:cs="Arial"/>
          <w:b/>
        </w:rPr>
        <w:t>4</w:t>
      </w:r>
      <w:r w:rsidRPr="003E4BD6">
        <w:rPr>
          <w:rFonts w:ascii="Arial" w:hAnsi="Arial" w:cs="Arial"/>
          <w:b/>
        </w:rPr>
        <w:t>: Obvezne sestavine pogodbe o ustanovitvi lokalne akcijske skupine</w:t>
      </w:r>
    </w:p>
    <w:p w:rsidR="003E4BD6" w:rsidRPr="003E4BD6" w:rsidRDefault="003E4BD6" w:rsidP="003E4BD6">
      <w:pPr>
        <w:rPr>
          <w:rFonts w:ascii="Arial" w:hAnsi="Arial" w:cs="Arial"/>
        </w:rPr>
      </w:pPr>
      <w:r w:rsidRPr="003E4BD6">
        <w:rPr>
          <w:rFonts w:ascii="Arial" w:hAnsi="Arial" w:cs="Arial"/>
        </w:rPr>
        <w:t xml:space="preserve">Iz pogodbe </w:t>
      </w:r>
      <w:r w:rsidR="00591183" w:rsidRPr="003E4BD6">
        <w:rPr>
          <w:rFonts w:ascii="Arial" w:hAnsi="Arial" w:cs="Arial"/>
        </w:rPr>
        <w:t xml:space="preserve">o ustanovitvi lokalne akcijske skupine </w:t>
      </w:r>
      <w:r w:rsidRPr="003E4BD6">
        <w:rPr>
          <w:rFonts w:ascii="Arial" w:hAnsi="Arial" w:cs="Arial"/>
        </w:rPr>
        <w:t>morajo biti razvidne naslednje vsebine:</w:t>
      </w:r>
    </w:p>
    <w:p w:rsidR="007203E2" w:rsidRPr="007203E2" w:rsidRDefault="002068F3" w:rsidP="007203E2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E4BD6" w:rsidRPr="003E4BD6">
        <w:rPr>
          <w:rFonts w:ascii="Arial" w:hAnsi="Arial" w:cs="Arial"/>
        </w:rPr>
        <w:t>artnerstvo, kot ga določa</w:t>
      </w:r>
      <w:r w:rsidR="00E303A3">
        <w:rPr>
          <w:rFonts w:ascii="Arial" w:hAnsi="Arial" w:cs="Arial"/>
        </w:rPr>
        <w:t xml:space="preserve"> 8. točka </w:t>
      </w:r>
      <w:r w:rsidR="007203E2">
        <w:rPr>
          <w:rFonts w:ascii="Arial" w:hAnsi="Arial" w:cs="Arial"/>
        </w:rPr>
        <w:t>6</w:t>
      </w:r>
      <w:r w:rsidR="00E303A3">
        <w:rPr>
          <w:rFonts w:ascii="Arial" w:hAnsi="Arial" w:cs="Arial"/>
        </w:rPr>
        <w:t>. člena</w:t>
      </w:r>
      <w:r w:rsidR="003E4BD6" w:rsidRPr="003E4BD6">
        <w:rPr>
          <w:rFonts w:ascii="Arial" w:hAnsi="Arial" w:cs="Arial"/>
        </w:rPr>
        <w:t xml:space="preserve"> Uredbe za potrditev SLR, torej, da mora biti LAS vključujoč in organiziran </w:t>
      </w:r>
      <w:r w:rsidR="007203E2" w:rsidRPr="007203E2">
        <w:rPr>
          <w:rFonts w:ascii="Arial" w:hAnsi="Arial" w:cs="Arial"/>
        </w:rPr>
        <w:t>kot tripartitno pogodbeno partnerstvo javnih subjektov, zasebnih socialnih ter zasebnih ekonomskih subjektov na izbranem območju, pri čemer noben sektor ne prevladuje</w:t>
      </w:r>
      <w:r w:rsidR="007203E2">
        <w:rPr>
          <w:rFonts w:ascii="Arial" w:hAnsi="Arial" w:cs="Arial"/>
        </w:rPr>
        <w:t>;</w:t>
      </w:r>
    </w:p>
    <w:p w:rsidR="002068F3" w:rsidRDefault="002068F3" w:rsidP="003E4BD6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vodilni partner</w:t>
      </w:r>
      <w:r w:rsidR="007203E2">
        <w:rPr>
          <w:rFonts w:ascii="Arial" w:hAnsi="Arial" w:cs="Arial"/>
        </w:rPr>
        <w:t xml:space="preserve"> iz 9. točke 6. člena Uredbe za potrditev SLR</w:t>
      </w:r>
      <w:r>
        <w:rPr>
          <w:rFonts w:ascii="Arial" w:hAnsi="Arial" w:cs="Arial"/>
        </w:rPr>
        <w:t xml:space="preserve"> in njegove obveznosti</w:t>
      </w:r>
      <w:r w:rsidR="00D8653A">
        <w:rPr>
          <w:rFonts w:ascii="Arial" w:hAnsi="Arial" w:cs="Arial"/>
        </w:rPr>
        <w:t>, vključno s finančnimi določbami</w:t>
      </w:r>
      <w:r>
        <w:rPr>
          <w:rFonts w:ascii="Arial" w:hAnsi="Arial" w:cs="Arial"/>
        </w:rPr>
        <w:t>;</w:t>
      </w:r>
    </w:p>
    <w:p w:rsidR="002068F3" w:rsidRDefault="002068F3" w:rsidP="003E4BD6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namen sklenitve pogodbe;</w:t>
      </w:r>
    </w:p>
    <w:p w:rsidR="002068F3" w:rsidRPr="003E4BD6" w:rsidRDefault="002068F3" w:rsidP="003E4BD6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člani partnerstva;</w:t>
      </w:r>
    </w:p>
    <w:p w:rsidR="003E4BD6" w:rsidRPr="003E4BD6" w:rsidRDefault="003E4BD6" w:rsidP="003E4BD6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 w:rsidRPr="003E4BD6">
        <w:rPr>
          <w:rFonts w:ascii="Arial" w:hAnsi="Arial" w:cs="Arial"/>
        </w:rPr>
        <w:t>imenovani organi LAS;</w:t>
      </w:r>
    </w:p>
    <w:p w:rsidR="003E4BD6" w:rsidRPr="003E4BD6" w:rsidRDefault="003E4BD6" w:rsidP="003E4BD6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 w:rsidRPr="003E4BD6">
        <w:rPr>
          <w:rFonts w:ascii="Arial" w:hAnsi="Arial" w:cs="Arial"/>
        </w:rPr>
        <w:t xml:space="preserve">opisane so naloge, odgovornosti postopki sprejemanja odločitev LAS </w:t>
      </w:r>
      <w:r w:rsidR="003A5529">
        <w:rPr>
          <w:rFonts w:ascii="Arial" w:hAnsi="Arial" w:cs="Arial"/>
        </w:rPr>
        <w:t>,</w:t>
      </w:r>
      <w:r w:rsidRPr="003E4BD6">
        <w:rPr>
          <w:rFonts w:ascii="Arial" w:hAnsi="Arial" w:cs="Arial"/>
        </w:rPr>
        <w:t xml:space="preserve">organov LAS na podlagi </w:t>
      </w:r>
      <w:r w:rsidR="003A5529">
        <w:rPr>
          <w:rFonts w:ascii="Arial" w:hAnsi="Arial" w:cs="Arial"/>
        </w:rPr>
        <w:t>32</w:t>
      </w:r>
      <w:r w:rsidRPr="003E4BD6">
        <w:rPr>
          <w:rFonts w:ascii="Arial" w:hAnsi="Arial" w:cs="Arial"/>
        </w:rPr>
        <w:t xml:space="preserve">. člena </w:t>
      </w:r>
      <w:r w:rsidR="007203E2" w:rsidRPr="007203E2">
        <w:rPr>
          <w:rFonts w:ascii="Arial" w:hAnsi="Arial" w:cs="Arial"/>
        </w:rPr>
        <w:t>Uredbe 2021/1060/EU</w:t>
      </w:r>
      <w:r w:rsidR="007203E2" w:rsidRPr="003E4BD6" w:rsidDel="007203E2">
        <w:rPr>
          <w:rFonts w:ascii="Arial" w:hAnsi="Arial" w:cs="Arial"/>
        </w:rPr>
        <w:t xml:space="preserve"> </w:t>
      </w:r>
      <w:r w:rsidRPr="003E4BD6">
        <w:rPr>
          <w:rFonts w:ascii="Arial" w:hAnsi="Arial" w:cs="Arial"/>
        </w:rPr>
        <w:t>;</w:t>
      </w:r>
    </w:p>
    <w:p w:rsidR="003E4BD6" w:rsidRPr="003E4BD6" w:rsidRDefault="003E4BD6" w:rsidP="003E4BD6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 w:rsidRPr="003E4BD6">
        <w:rPr>
          <w:rFonts w:ascii="Arial" w:hAnsi="Arial" w:cs="Arial"/>
        </w:rPr>
        <w:t>opredelitev glede preprečevanja konflikta interesa v skladu z Zakonom o integriteti in preprečevanju korupcije</w:t>
      </w:r>
      <w:r>
        <w:rPr>
          <w:rFonts w:ascii="Arial" w:hAnsi="Arial" w:cs="Arial"/>
        </w:rPr>
        <w:t xml:space="preserve"> </w:t>
      </w:r>
      <w:r w:rsidRPr="003E4BD6">
        <w:rPr>
          <w:rFonts w:ascii="Arial" w:hAnsi="Arial" w:cs="Arial"/>
        </w:rPr>
        <w:t>(Uradni list RS, št. </w:t>
      </w:r>
      <w:hyperlink r:id="rId5" w:tgtFrame="_blank" w:tooltip="Zakon o integriteti in preprečevanju korupcije (uradno prečiščeno besedilo)" w:history="1">
        <w:r w:rsidRPr="003E4BD6">
          <w:rPr>
            <w:rFonts w:ascii="Arial" w:hAnsi="Arial" w:cs="Arial"/>
          </w:rPr>
          <w:t>69/11</w:t>
        </w:r>
      </w:hyperlink>
      <w:r w:rsidRPr="003E4BD6">
        <w:rPr>
          <w:rFonts w:ascii="Arial" w:hAnsi="Arial" w:cs="Arial"/>
        </w:rPr>
        <w:t> – uradno prečiščeno besedilo, </w:t>
      </w:r>
      <w:hyperlink r:id="rId6" w:tgtFrame="_blank" w:tooltip="Zakon o spremembah in dopolnitvah Zakona o integriteti in preprečevanju korupcije" w:history="1">
        <w:r w:rsidRPr="003E4BD6">
          <w:rPr>
            <w:rFonts w:ascii="Arial" w:hAnsi="Arial" w:cs="Arial"/>
          </w:rPr>
          <w:t>158/20</w:t>
        </w:r>
      </w:hyperlink>
      <w:r w:rsidRPr="003E4BD6">
        <w:rPr>
          <w:rFonts w:ascii="Arial" w:hAnsi="Arial" w:cs="Arial"/>
        </w:rPr>
        <w:t> in </w:t>
      </w:r>
      <w:hyperlink r:id="rId7" w:tgtFrame="_blank" w:tooltip="Zakon o debirokratizaciji" w:history="1">
        <w:r w:rsidRPr="003E4BD6">
          <w:rPr>
            <w:rFonts w:ascii="Arial" w:hAnsi="Arial" w:cs="Arial"/>
          </w:rPr>
          <w:t>3/22</w:t>
        </w:r>
      </w:hyperlink>
      <w:r w:rsidRPr="003E4BD6">
        <w:rPr>
          <w:rFonts w:ascii="Arial" w:hAnsi="Arial" w:cs="Arial"/>
        </w:rPr>
        <w:t xml:space="preserve"> – </w:t>
      </w:r>
      <w:proofErr w:type="spellStart"/>
      <w:r w:rsidRPr="003E4BD6">
        <w:rPr>
          <w:rFonts w:ascii="Arial" w:hAnsi="Arial" w:cs="Arial"/>
        </w:rPr>
        <w:t>ZDeb</w:t>
      </w:r>
      <w:proofErr w:type="spellEnd"/>
      <w:r w:rsidRPr="003E4BD6">
        <w:rPr>
          <w:rFonts w:ascii="Arial" w:hAnsi="Arial" w:cs="Arial"/>
        </w:rPr>
        <w:t>);</w:t>
      </w:r>
    </w:p>
    <w:p w:rsidR="002068F3" w:rsidRDefault="002068F3" w:rsidP="003E4BD6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veljavnost pogodbe;</w:t>
      </w:r>
    </w:p>
    <w:p w:rsidR="002068F3" w:rsidRDefault="002068F3" w:rsidP="002068F3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 w:rsidRPr="002068F3">
        <w:rPr>
          <w:rFonts w:ascii="Arial" w:hAnsi="Arial" w:cs="Arial"/>
        </w:rPr>
        <w:t xml:space="preserve">način porazdelitve obveznosti po posameznih članih partnerstva v </w:t>
      </w:r>
      <w:r>
        <w:rPr>
          <w:rFonts w:ascii="Arial" w:hAnsi="Arial" w:cs="Arial"/>
        </w:rPr>
        <w:t>primeru ugotovljene kršitve;</w:t>
      </w:r>
    </w:p>
    <w:p w:rsidR="002068F3" w:rsidRDefault="002068F3" w:rsidP="002068F3">
      <w:pPr>
        <w:pStyle w:val="Odstavekseznama"/>
        <w:numPr>
          <w:ilvl w:val="0"/>
          <w:numId w:val="3"/>
        </w:numPr>
        <w:shd w:val="clear" w:color="auto" w:fill="FFFFFF"/>
        <w:spacing w:after="0"/>
        <w:ind w:left="425" w:hanging="425"/>
        <w:jc w:val="both"/>
        <w:rPr>
          <w:rFonts w:ascii="Arial" w:hAnsi="Arial" w:cs="Arial"/>
        </w:rPr>
      </w:pPr>
      <w:r w:rsidRPr="003E4BD6">
        <w:rPr>
          <w:rFonts w:ascii="Arial" w:hAnsi="Arial" w:cs="Arial"/>
        </w:rPr>
        <w:t xml:space="preserve">določbe glede morebitnega prenosa nalog LAS, ustanovljenim za programsko obdobje 2014-2020 in LAS za </w:t>
      </w:r>
      <w:r>
        <w:rPr>
          <w:rFonts w:ascii="Arial" w:hAnsi="Arial" w:cs="Arial"/>
        </w:rPr>
        <w:t>pr</w:t>
      </w:r>
      <w:bookmarkStart w:id="0" w:name="_GoBack"/>
      <w:bookmarkEnd w:id="0"/>
      <w:r>
        <w:rPr>
          <w:rFonts w:ascii="Arial" w:hAnsi="Arial" w:cs="Arial"/>
        </w:rPr>
        <w:t>ogramsko obdobje do leta 2027</w:t>
      </w:r>
      <w:r w:rsidR="001D6E75">
        <w:rPr>
          <w:rFonts w:ascii="Arial" w:hAnsi="Arial" w:cs="Arial"/>
        </w:rPr>
        <w:t>, vezanih na obveznosti upravičencev v skladu z 71. členom 1303/2013</w:t>
      </w:r>
      <w:r w:rsidR="00E303A3">
        <w:rPr>
          <w:rFonts w:ascii="Arial" w:hAnsi="Arial" w:cs="Arial"/>
        </w:rPr>
        <w:t>/EU</w:t>
      </w:r>
      <w:r>
        <w:rPr>
          <w:rFonts w:ascii="Arial" w:hAnsi="Arial" w:cs="Arial"/>
        </w:rPr>
        <w:t>.</w:t>
      </w:r>
    </w:p>
    <w:p w:rsidR="001D6E75" w:rsidRDefault="001D6E75" w:rsidP="00E303A3">
      <w:pPr>
        <w:pStyle w:val="Odstavekseznama"/>
        <w:shd w:val="clear" w:color="auto" w:fill="FFFFFF"/>
        <w:spacing w:after="0"/>
        <w:ind w:left="425"/>
        <w:jc w:val="both"/>
        <w:rPr>
          <w:rFonts w:ascii="Arial" w:hAnsi="Arial" w:cs="Arial"/>
        </w:rPr>
      </w:pPr>
    </w:p>
    <w:p w:rsidR="002068F3" w:rsidRDefault="002068F3" w:rsidP="002068F3">
      <w:pPr>
        <w:pStyle w:val="Odstavekseznama"/>
        <w:shd w:val="clear" w:color="auto" w:fill="FFFFFF"/>
        <w:spacing w:after="0"/>
        <w:ind w:left="425"/>
        <w:jc w:val="both"/>
        <w:rPr>
          <w:rFonts w:ascii="Arial" w:hAnsi="Arial" w:cs="Arial"/>
        </w:rPr>
      </w:pPr>
    </w:p>
    <w:p w:rsidR="003E4BD6" w:rsidRDefault="003E4BD6" w:rsidP="003E4BD6">
      <w:pPr>
        <w:shd w:val="clear" w:color="auto" w:fill="FFFFFF"/>
        <w:spacing w:after="0"/>
        <w:jc w:val="both"/>
        <w:rPr>
          <w:rFonts w:ascii="Arial" w:hAnsi="Arial" w:cs="Arial"/>
        </w:rPr>
      </w:pPr>
    </w:p>
    <w:p w:rsidR="003E4BD6" w:rsidRPr="003E4BD6" w:rsidRDefault="003E4BD6" w:rsidP="003E4BD6">
      <w:pPr>
        <w:shd w:val="clear" w:color="auto" w:fill="FFFFFF"/>
        <w:spacing w:after="0"/>
        <w:jc w:val="both"/>
        <w:rPr>
          <w:rFonts w:ascii="Arial" w:hAnsi="Arial" w:cs="Arial"/>
        </w:rPr>
      </w:pPr>
    </w:p>
    <w:p w:rsidR="003E4BD6" w:rsidRDefault="003E4BD6" w:rsidP="003E4BD6">
      <w:pPr>
        <w:pStyle w:val="Odstavekseznama"/>
        <w:shd w:val="clear" w:color="auto" w:fill="FFFFFF"/>
        <w:spacing w:after="0"/>
        <w:ind w:left="425"/>
        <w:jc w:val="both"/>
        <w:rPr>
          <w:rFonts w:ascii="Arial" w:hAnsi="Arial" w:cs="Arial"/>
        </w:rPr>
      </w:pPr>
    </w:p>
    <w:p w:rsidR="003E4BD6" w:rsidRDefault="003E4BD6" w:rsidP="003E4BD6">
      <w:pPr>
        <w:pStyle w:val="Odstavekseznama"/>
        <w:shd w:val="clear" w:color="auto" w:fill="FFFFFF"/>
        <w:spacing w:after="0"/>
        <w:ind w:left="425"/>
        <w:jc w:val="both"/>
        <w:rPr>
          <w:rFonts w:ascii="Arial" w:hAnsi="Arial" w:cs="Arial"/>
        </w:rPr>
      </w:pPr>
    </w:p>
    <w:p w:rsidR="003E4BD6" w:rsidRPr="003E4BD6" w:rsidRDefault="003E4BD6" w:rsidP="003E4BD6">
      <w:pPr>
        <w:pStyle w:val="Odstavekseznama"/>
        <w:shd w:val="clear" w:color="auto" w:fill="FFFFFF"/>
        <w:spacing w:after="0"/>
        <w:ind w:left="425"/>
        <w:jc w:val="both"/>
        <w:rPr>
          <w:rFonts w:ascii="Arial" w:hAnsi="Arial" w:cs="Arial"/>
        </w:rPr>
      </w:pPr>
    </w:p>
    <w:sectPr w:rsidR="003E4BD6" w:rsidRPr="003E4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1F7"/>
    <w:multiLevelType w:val="hybridMultilevel"/>
    <w:tmpl w:val="98C66D38"/>
    <w:lvl w:ilvl="0" w:tplc="C62637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65F4B"/>
    <w:multiLevelType w:val="hybridMultilevel"/>
    <w:tmpl w:val="A688180E"/>
    <w:lvl w:ilvl="0" w:tplc="DD3AB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1179"/>
    <w:multiLevelType w:val="hybridMultilevel"/>
    <w:tmpl w:val="5C8E47FE"/>
    <w:lvl w:ilvl="0" w:tplc="27A8A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83"/>
    <w:rsid w:val="00110268"/>
    <w:rsid w:val="001D6E75"/>
    <w:rsid w:val="002068F3"/>
    <w:rsid w:val="003A5529"/>
    <w:rsid w:val="003E4BD6"/>
    <w:rsid w:val="00467175"/>
    <w:rsid w:val="00591183"/>
    <w:rsid w:val="00684B7D"/>
    <w:rsid w:val="007203E2"/>
    <w:rsid w:val="009F127F"/>
    <w:rsid w:val="00C830A8"/>
    <w:rsid w:val="00D8653A"/>
    <w:rsid w:val="00E303A3"/>
    <w:rsid w:val="00E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BA79"/>
  <w15:chartTrackingRefBased/>
  <w15:docId w15:val="{2AE23559-EC6D-436A-BED1-4D355A92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4B7D"/>
    <w:pPr>
      <w:ind w:left="720"/>
      <w:contextualSpacing/>
    </w:pPr>
  </w:style>
  <w:style w:type="paragraph" w:customStyle="1" w:styleId="tevilnatoka">
    <w:name w:val="tevilnatoka"/>
    <w:basedOn w:val="Navaden"/>
    <w:rsid w:val="003E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E4B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E4BD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E4BD6"/>
    <w:rPr>
      <w:rFonts w:ascii="Arial" w:eastAsia="Times New Roman" w:hAnsi="Arial" w:cs="Times New Roman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semiHidden/>
    <w:unhideWhenUsed/>
    <w:rsid w:val="003E4BD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0-01-2765" TargetMode="External"/><Relationship Id="rId5" Type="http://schemas.openxmlformats.org/officeDocument/2006/relationships/hyperlink" Target="http://www.uradni-list.si/1/objava.jsp?sop=2011-01-30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Jerič</dc:creator>
  <cp:keywords/>
  <dc:description/>
  <cp:lastModifiedBy>Marjeta Jerič</cp:lastModifiedBy>
  <cp:revision>6</cp:revision>
  <dcterms:created xsi:type="dcterms:W3CDTF">2022-04-26T11:00:00Z</dcterms:created>
  <dcterms:modified xsi:type="dcterms:W3CDTF">2022-06-23T10:10:00Z</dcterms:modified>
</cp:coreProperties>
</file>