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9E85" w14:textId="2E742056" w:rsidR="006C3E3E" w:rsidRDefault="006C3E3E" w:rsidP="00EF735A">
      <w:pPr>
        <w:pStyle w:val="Pravnapodlaga"/>
        <w:spacing w:before="0"/>
        <w:rPr>
          <w:rFonts w:cs="Arial"/>
          <w:lang w:val="sl-SI"/>
        </w:rPr>
      </w:pPr>
      <w:r w:rsidRPr="003A52A5">
        <w:rPr>
          <w:rFonts w:cs="Arial"/>
          <w:lang w:val="sl-SI"/>
        </w:rPr>
        <w:t xml:space="preserve">Na podlagi </w:t>
      </w:r>
      <w:r w:rsidR="00766096" w:rsidRPr="003A52A5">
        <w:rPr>
          <w:rFonts w:cs="Arial"/>
          <w:lang w:val="sl-SI"/>
        </w:rPr>
        <w:t>tretjega</w:t>
      </w:r>
      <w:r w:rsidRPr="003A52A5">
        <w:rPr>
          <w:rFonts w:cs="Arial"/>
          <w:lang w:val="sl-SI"/>
        </w:rPr>
        <w:t xml:space="preserve"> odstavka 1</w:t>
      </w:r>
      <w:r w:rsidR="00766096" w:rsidRPr="003A52A5">
        <w:rPr>
          <w:rFonts w:cs="Arial"/>
          <w:lang w:val="sl-SI"/>
        </w:rPr>
        <w:t>72.</w:t>
      </w:r>
      <w:r w:rsidRPr="003A52A5">
        <w:rPr>
          <w:rFonts w:cs="Arial"/>
          <w:lang w:val="sl-SI"/>
        </w:rPr>
        <w:t xml:space="preserve"> člena Zakona o varstvu okolja (</w:t>
      </w:r>
      <w:r w:rsidR="00766096" w:rsidRPr="003A52A5">
        <w:rPr>
          <w:rFonts w:cs="Arial"/>
          <w:lang w:val="sl-SI"/>
        </w:rPr>
        <w:t xml:space="preserve">Uradni list RS, št. 44/22) </w:t>
      </w:r>
      <w:r w:rsidRPr="003A52A5">
        <w:rPr>
          <w:rFonts w:cs="Arial"/>
          <w:lang w:val="sl-SI"/>
        </w:rPr>
        <w:t>izdaja Vlada Republike Slovenije</w:t>
      </w:r>
    </w:p>
    <w:p w14:paraId="38095AC2" w14:textId="77777777" w:rsidR="00EF735A" w:rsidRDefault="00EF735A" w:rsidP="00EF735A">
      <w:pPr>
        <w:pStyle w:val="Pravnapodlaga"/>
        <w:spacing w:before="0"/>
        <w:rPr>
          <w:rFonts w:cs="Arial"/>
          <w:lang w:val="sl-SI"/>
        </w:rPr>
      </w:pPr>
    </w:p>
    <w:p w14:paraId="19785DA5" w14:textId="77777777" w:rsidR="00EF735A" w:rsidRPr="003A52A5" w:rsidRDefault="00EF735A" w:rsidP="00EF735A">
      <w:pPr>
        <w:pStyle w:val="Pravnapodlaga"/>
        <w:spacing w:before="0"/>
        <w:rPr>
          <w:rFonts w:cs="Arial"/>
          <w:lang w:val="sl-SI"/>
        </w:rPr>
      </w:pPr>
    </w:p>
    <w:p w14:paraId="54A94B3A" w14:textId="39AD3A64" w:rsidR="006C3E3E" w:rsidRDefault="006C3E3E" w:rsidP="00EF735A">
      <w:pPr>
        <w:pStyle w:val="Vrstapredpisa"/>
        <w:spacing w:before="0"/>
        <w:rPr>
          <w:rFonts w:cs="Arial"/>
          <w:lang w:val="sl-SI"/>
        </w:rPr>
      </w:pPr>
      <w:r w:rsidRPr="003A52A5">
        <w:rPr>
          <w:rFonts w:cs="Arial"/>
          <w:lang w:val="sl-SI"/>
        </w:rPr>
        <w:t>UREDBO</w:t>
      </w:r>
    </w:p>
    <w:p w14:paraId="45A5D1B0" w14:textId="77777777" w:rsidR="00EF735A" w:rsidRPr="003A52A5" w:rsidRDefault="00EF735A" w:rsidP="00EF735A">
      <w:pPr>
        <w:pStyle w:val="Vrstapredpisa"/>
        <w:spacing w:before="0"/>
        <w:rPr>
          <w:rFonts w:cs="Arial"/>
          <w:lang w:val="sl-SI"/>
        </w:rPr>
      </w:pPr>
    </w:p>
    <w:p w14:paraId="7DB7D419" w14:textId="59EBA44F" w:rsidR="006C3E3E" w:rsidRDefault="006C3E3E" w:rsidP="00EF735A">
      <w:pPr>
        <w:pStyle w:val="Naslovpredpisa"/>
        <w:rPr>
          <w:rFonts w:cs="Arial"/>
          <w:lang w:val="sl-SI"/>
        </w:rPr>
      </w:pPr>
      <w:r w:rsidRPr="003A52A5">
        <w:rPr>
          <w:rFonts w:cs="Arial"/>
          <w:lang w:val="sl-SI"/>
        </w:rPr>
        <w:t xml:space="preserve">o </w:t>
      </w:r>
      <w:proofErr w:type="spellStart"/>
      <w:r w:rsidRPr="003A52A5">
        <w:rPr>
          <w:rFonts w:cs="Arial"/>
          <w:lang w:val="sl-SI"/>
        </w:rPr>
        <w:t>okoljski</w:t>
      </w:r>
      <w:proofErr w:type="spellEnd"/>
      <w:r w:rsidRPr="003A52A5">
        <w:rPr>
          <w:rFonts w:cs="Arial"/>
          <w:lang w:val="sl-SI"/>
        </w:rPr>
        <w:t xml:space="preserve"> dajatvi za onesnaževanje okolja zaradi odlaganja odpadkov na odlagališčih</w:t>
      </w:r>
    </w:p>
    <w:p w14:paraId="400B50C0" w14:textId="77777777" w:rsidR="00EF735A" w:rsidRDefault="00EF735A" w:rsidP="00EF735A">
      <w:pPr>
        <w:pStyle w:val="Naslovpredpisa"/>
        <w:rPr>
          <w:rFonts w:cs="Arial"/>
          <w:lang w:val="sl-SI"/>
        </w:rPr>
      </w:pPr>
    </w:p>
    <w:p w14:paraId="56107E70" w14:textId="77777777" w:rsidR="00EF735A" w:rsidRPr="003A52A5" w:rsidRDefault="00EF735A" w:rsidP="00EF735A">
      <w:pPr>
        <w:pStyle w:val="Naslovpredpisa"/>
        <w:rPr>
          <w:rFonts w:cs="Arial"/>
          <w:lang w:val="sl-SI"/>
        </w:rPr>
      </w:pPr>
    </w:p>
    <w:p w14:paraId="1050AFBB" w14:textId="26EAF482" w:rsidR="006C3E3E" w:rsidRDefault="008328E9" w:rsidP="008328E9">
      <w:pPr>
        <w:pStyle w:val="Poglavje"/>
        <w:spacing w:before="0"/>
        <w:ind w:left="360"/>
      </w:pPr>
      <w:r w:rsidRPr="008328E9">
        <w:t>I.</w:t>
      </w:r>
      <w:r>
        <w:t xml:space="preserve"> </w:t>
      </w:r>
      <w:r w:rsidR="006C3E3E" w:rsidRPr="003A52A5">
        <w:t>SPLOŠNE DOLOČBE</w:t>
      </w:r>
    </w:p>
    <w:p w14:paraId="1B93C41B" w14:textId="77777777" w:rsidR="00EF735A" w:rsidRPr="003A52A5" w:rsidRDefault="00EF735A" w:rsidP="00EF735A">
      <w:pPr>
        <w:pStyle w:val="Poglavje"/>
        <w:spacing w:before="0"/>
        <w:ind w:left="360"/>
      </w:pPr>
    </w:p>
    <w:p w14:paraId="02725B19" w14:textId="77777777" w:rsidR="006C3E3E" w:rsidRPr="003A52A5" w:rsidRDefault="006C3E3E" w:rsidP="00EF735A">
      <w:pPr>
        <w:pStyle w:val="len"/>
        <w:spacing w:before="0"/>
        <w:rPr>
          <w:rFonts w:cs="Arial"/>
          <w:lang w:val="sl-SI"/>
        </w:rPr>
      </w:pPr>
      <w:r w:rsidRPr="003A52A5">
        <w:rPr>
          <w:rFonts w:cs="Arial"/>
          <w:lang w:val="sl-SI"/>
        </w:rPr>
        <w:t>1. člen</w:t>
      </w:r>
    </w:p>
    <w:p w14:paraId="781D9077" w14:textId="0392000C" w:rsidR="000D675F" w:rsidRDefault="000D675F" w:rsidP="00EF735A">
      <w:pPr>
        <w:pStyle w:val="len"/>
        <w:spacing w:before="0"/>
        <w:rPr>
          <w:rFonts w:cs="Arial"/>
          <w:lang w:val="sl-SI"/>
        </w:rPr>
      </w:pPr>
      <w:r w:rsidRPr="003A52A5">
        <w:rPr>
          <w:rFonts w:cs="Arial"/>
          <w:lang w:val="sl-SI"/>
        </w:rPr>
        <w:t>(vsebina)</w:t>
      </w:r>
    </w:p>
    <w:p w14:paraId="1318835C" w14:textId="77777777" w:rsidR="00EF735A" w:rsidRPr="003A52A5" w:rsidRDefault="00EF735A" w:rsidP="00EF735A">
      <w:pPr>
        <w:pStyle w:val="len"/>
        <w:spacing w:before="0"/>
        <w:rPr>
          <w:rFonts w:cs="Arial"/>
          <w:lang w:val="sl-SI"/>
        </w:rPr>
      </w:pPr>
    </w:p>
    <w:p w14:paraId="213C22E4" w14:textId="77777777" w:rsidR="006C3E3E" w:rsidRPr="003A52A5" w:rsidRDefault="006C3E3E" w:rsidP="00EF735A">
      <w:pPr>
        <w:pStyle w:val="Odstavek"/>
        <w:spacing w:before="0"/>
        <w:rPr>
          <w:rFonts w:cs="Arial"/>
          <w:lang w:val="sl-SI"/>
        </w:rPr>
      </w:pPr>
      <w:r w:rsidRPr="003A52A5">
        <w:rPr>
          <w:rFonts w:cs="Arial"/>
          <w:lang w:val="sl-SI"/>
        </w:rPr>
        <w:t xml:space="preserve">Ta uredba določa osnovo za obračun </w:t>
      </w:r>
      <w:proofErr w:type="spellStart"/>
      <w:r w:rsidRPr="003A52A5">
        <w:rPr>
          <w:rFonts w:cs="Arial"/>
          <w:lang w:val="sl-SI"/>
        </w:rPr>
        <w:t>okoljske</w:t>
      </w:r>
      <w:proofErr w:type="spellEnd"/>
      <w:r w:rsidRPr="003A52A5">
        <w:rPr>
          <w:rFonts w:cs="Arial"/>
          <w:lang w:val="sl-SI"/>
        </w:rPr>
        <w:t xml:space="preserve"> dajatve, njeno višino ter način njenega obračunavanja in plačevanja, zavezance in plačnike </w:t>
      </w:r>
      <w:proofErr w:type="spellStart"/>
      <w:r w:rsidRPr="003A52A5">
        <w:rPr>
          <w:rFonts w:cs="Arial"/>
          <w:lang w:val="sl-SI"/>
        </w:rPr>
        <w:t>okoljske</w:t>
      </w:r>
      <w:proofErr w:type="spellEnd"/>
      <w:r w:rsidRPr="003A52A5">
        <w:rPr>
          <w:rFonts w:cs="Arial"/>
          <w:lang w:val="sl-SI"/>
        </w:rPr>
        <w:t xml:space="preserve"> dajatve za onesnaževanje okolja zaradi odlaganja odpadkov na odlagališčih (v nadaljnjem besedilu: </w:t>
      </w:r>
      <w:proofErr w:type="spellStart"/>
      <w:r w:rsidRPr="003A52A5">
        <w:rPr>
          <w:rFonts w:cs="Arial"/>
          <w:lang w:val="sl-SI"/>
        </w:rPr>
        <w:t>okoljska</w:t>
      </w:r>
      <w:proofErr w:type="spellEnd"/>
      <w:r w:rsidRPr="003A52A5">
        <w:rPr>
          <w:rFonts w:cs="Arial"/>
          <w:lang w:val="sl-SI"/>
        </w:rPr>
        <w:t xml:space="preserve"> dajatev).</w:t>
      </w:r>
    </w:p>
    <w:p w14:paraId="1B134066" w14:textId="77777777" w:rsidR="000D675F" w:rsidRPr="003A52A5" w:rsidRDefault="000D675F" w:rsidP="00EF735A">
      <w:pPr>
        <w:pStyle w:val="len"/>
        <w:spacing w:before="0"/>
        <w:rPr>
          <w:rFonts w:cs="Arial"/>
          <w:lang w:val="sl-SI"/>
        </w:rPr>
      </w:pPr>
    </w:p>
    <w:p w14:paraId="4C9A4C0A" w14:textId="77777777" w:rsidR="006C3E3E" w:rsidRPr="003A52A5" w:rsidRDefault="006C3E3E" w:rsidP="00EF735A">
      <w:pPr>
        <w:pStyle w:val="len"/>
        <w:spacing w:before="0"/>
        <w:rPr>
          <w:rFonts w:cs="Arial"/>
          <w:lang w:val="sl-SI"/>
        </w:rPr>
      </w:pPr>
      <w:r w:rsidRPr="003A52A5">
        <w:rPr>
          <w:rFonts w:cs="Arial"/>
          <w:lang w:val="sl-SI"/>
        </w:rPr>
        <w:t>2. člen</w:t>
      </w:r>
    </w:p>
    <w:p w14:paraId="5664044E" w14:textId="0D25BEBA" w:rsidR="00A327F1" w:rsidRDefault="00A327F1" w:rsidP="00EF735A">
      <w:pPr>
        <w:pStyle w:val="len"/>
        <w:spacing w:before="0"/>
        <w:rPr>
          <w:rFonts w:cs="Arial"/>
          <w:lang w:val="sl-SI"/>
        </w:rPr>
      </w:pPr>
      <w:r w:rsidRPr="003A52A5">
        <w:rPr>
          <w:rFonts w:cs="Arial"/>
          <w:lang w:val="sl-SI"/>
        </w:rPr>
        <w:t>(pomen izrazov)</w:t>
      </w:r>
    </w:p>
    <w:p w14:paraId="7C12AB66" w14:textId="77777777" w:rsidR="00EF735A" w:rsidRPr="003A52A5" w:rsidRDefault="00EF735A" w:rsidP="00EF735A">
      <w:pPr>
        <w:pStyle w:val="len"/>
        <w:spacing w:before="0"/>
        <w:rPr>
          <w:rFonts w:cs="Arial"/>
          <w:lang w:val="sl-SI"/>
        </w:rPr>
      </w:pPr>
    </w:p>
    <w:p w14:paraId="56061B05" w14:textId="64E0A230" w:rsidR="00A327F1" w:rsidRPr="003A52A5" w:rsidRDefault="00A327F1" w:rsidP="00EF735A">
      <w:pPr>
        <w:pStyle w:val="Odstavek"/>
        <w:spacing w:before="0"/>
        <w:rPr>
          <w:rFonts w:cs="Arial"/>
          <w:lang w:val="sl-SI"/>
        </w:rPr>
      </w:pPr>
      <w:r w:rsidRPr="003A52A5">
        <w:rPr>
          <w:rFonts w:cs="Arial"/>
          <w:lang w:val="sl-SI"/>
        </w:rPr>
        <w:t>Izrazi odpadek, odlagališče odpadkov, nevarni odpadek</w:t>
      </w:r>
      <w:r w:rsidR="00086879" w:rsidRPr="003A52A5">
        <w:rPr>
          <w:rFonts w:cs="Arial"/>
          <w:lang w:val="sl-SI"/>
        </w:rPr>
        <w:t xml:space="preserve"> in</w:t>
      </w:r>
      <w:r w:rsidRPr="003A52A5">
        <w:rPr>
          <w:rFonts w:cs="Arial"/>
          <w:lang w:val="sl-SI"/>
        </w:rPr>
        <w:t xml:space="preserve"> nenevarni odpadek so opredeljeni v zakonu, ki ureja varstvo okolja, izraz</w:t>
      </w:r>
      <w:r w:rsidR="0070062B">
        <w:rPr>
          <w:rFonts w:cs="Arial"/>
          <w:lang w:val="sl-SI"/>
        </w:rPr>
        <w:t>a</w:t>
      </w:r>
      <w:r w:rsidRPr="003A52A5">
        <w:rPr>
          <w:rFonts w:cs="Arial"/>
          <w:lang w:val="sl-SI"/>
        </w:rPr>
        <w:t xml:space="preserve"> inertni odpadek in upravljavec odlagališča pa v predpisu, ki ureja odlagališča odpadkov.</w:t>
      </w:r>
    </w:p>
    <w:p w14:paraId="4347843B" w14:textId="77777777" w:rsidR="00A327F1" w:rsidRPr="003A52A5" w:rsidRDefault="00A327F1" w:rsidP="00EF735A">
      <w:pPr>
        <w:pStyle w:val="len"/>
        <w:spacing w:before="0"/>
        <w:rPr>
          <w:rFonts w:cs="Arial"/>
          <w:lang w:val="sl-SI"/>
        </w:rPr>
      </w:pPr>
    </w:p>
    <w:p w14:paraId="29A8971D" w14:textId="77777777" w:rsidR="00A327F1" w:rsidRPr="003A52A5" w:rsidRDefault="00A327F1" w:rsidP="00EF735A">
      <w:pPr>
        <w:pStyle w:val="len"/>
        <w:spacing w:before="0"/>
        <w:rPr>
          <w:rFonts w:cs="Arial"/>
          <w:lang w:val="sl-SI"/>
        </w:rPr>
      </w:pPr>
      <w:r w:rsidRPr="003A52A5">
        <w:rPr>
          <w:rFonts w:cs="Arial"/>
          <w:lang w:val="sl-SI"/>
        </w:rPr>
        <w:t>3. člen</w:t>
      </w:r>
    </w:p>
    <w:p w14:paraId="43B9F88B" w14:textId="73467358" w:rsidR="000D675F" w:rsidRDefault="000D675F" w:rsidP="00EF735A">
      <w:pPr>
        <w:pStyle w:val="len"/>
        <w:spacing w:before="0"/>
        <w:rPr>
          <w:rFonts w:cs="Arial"/>
          <w:lang w:val="sl-SI"/>
        </w:rPr>
      </w:pPr>
      <w:r w:rsidRPr="003A52A5">
        <w:rPr>
          <w:rFonts w:cs="Arial"/>
          <w:lang w:val="sl-SI"/>
        </w:rPr>
        <w:t>(</w:t>
      </w:r>
      <w:proofErr w:type="spellStart"/>
      <w:r w:rsidRPr="003A52A5">
        <w:rPr>
          <w:rFonts w:cs="Arial"/>
          <w:lang w:val="sl-SI"/>
        </w:rPr>
        <w:t>okoljska</w:t>
      </w:r>
      <w:proofErr w:type="spellEnd"/>
      <w:r w:rsidRPr="003A52A5">
        <w:rPr>
          <w:rFonts w:cs="Arial"/>
          <w:lang w:val="sl-SI"/>
        </w:rPr>
        <w:t xml:space="preserve"> dajatev)</w:t>
      </w:r>
    </w:p>
    <w:p w14:paraId="70C3EA95" w14:textId="77777777" w:rsidR="00EF735A" w:rsidRPr="003A52A5" w:rsidRDefault="00EF735A" w:rsidP="00EF735A">
      <w:pPr>
        <w:pStyle w:val="len"/>
        <w:spacing w:before="0"/>
        <w:rPr>
          <w:rFonts w:cs="Arial"/>
          <w:lang w:val="sl-SI"/>
        </w:rPr>
      </w:pPr>
    </w:p>
    <w:p w14:paraId="5080D180" w14:textId="77777777" w:rsidR="006C3E3E" w:rsidRPr="003A52A5" w:rsidRDefault="006C3E3E" w:rsidP="00EF735A">
      <w:pPr>
        <w:pStyle w:val="Odstavek"/>
        <w:spacing w:before="0"/>
        <w:rPr>
          <w:rFonts w:cs="Arial"/>
          <w:lang w:val="sl-SI"/>
        </w:rPr>
      </w:pPr>
      <w:r w:rsidRPr="003A52A5">
        <w:rPr>
          <w:rFonts w:cs="Arial"/>
          <w:lang w:val="sl-SI"/>
        </w:rPr>
        <w:t>(1) </w:t>
      </w:r>
      <w:proofErr w:type="spellStart"/>
      <w:r w:rsidRPr="003A52A5">
        <w:rPr>
          <w:rFonts w:cs="Arial"/>
          <w:lang w:val="sl-SI"/>
        </w:rPr>
        <w:t>Okoljska</w:t>
      </w:r>
      <w:proofErr w:type="spellEnd"/>
      <w:r w:rsidRPr="003A52A5">
        <w:rPr>
          <w:rFonts w:cs="Arial"/>
          <w:lang w:val="sl-SI"/>
        </w:rPr>
        <w:t xml:space="preserve"> dajatev se plačuje za onesnaževanje okolja zaradi odlaganja odpadkov </w:t>
      </w:r>
      <w:r w:rsidR="00086879" w:rsidRPr="003A52A5">
        <w:rPr>
          <w:rFonts w:cs="Arial"/>
          <w:lang w:val="sl-SI"/>
        </w:rPr>
        <w:t xml:space="preserve">po postopkih odstranjevanja odpadkov z oznakama D1 in D5 v skladu s predpisom, ki ureja odpadke, </w:t>
      </w:r>
      <w:r w:rsidRPr="003A52A5">
        <w:rPr>
          <w:rFonts w:cs="Arial"/>
          <w:lang w:val="sl-SI"/>
        </w:rPr>
        <w:t>na odlagališču za inertne odpadke, odlagališču za nenevarne odpadke ali odlagališču za nevarne odpadke (v nadaljnjem besedilu: odpadki).</w:t>
      </w:r>
    </w:p>
    <w:p w14:paraId="267B8C0A" w14:textId="77777777" w:rsidR="008328E9" w:rsidRDefault="008328E9" w:rsidP="00EF735A">
      <w:pPr>
        <w:pStyle w:val="Odstavek"/>
        <w:spacing w:before="0"/>
        <w:rPr>
          <w:rFonts w:cs="Arial"/>
          <w:lang w:val="sl-SI"/>
        </w:rPr>
      </w:pPr>
    </w:p>
    <w:p w14:paraId="78F1EFA4" w14:textId="6F1C29C6" w:rsidR="006C3E3E" w:rsidRPr="003A52A5" w:rsidRDefault="006C3E3E" w:rsidP="00EF735A">
      <w:pPr>
        <w:pStyle w:val="Odstavek"/>
        <w:spacing w:before="0"/>
        <w:rPr>
          <w:rFonts w:cs="Arial"/>
          <w:lang w:val="sl-SI"/>
        </w:rPr>
      </w:pPr>
      <w:r w:rsidRPr="003A52A5">
        <w:rPr>
          <w:rFonts w:cs="Arial"/>
          <w:lang w:val="sl-SI"/>
        </w:rPr>
        <w:t>(</w:t>
      </w:r>
      <w:r w:rsidR="00A327F1" w:rsidRPr="003A52A5">
        <w:rPr>
          <w:rFonts w:cs="Arial"/>
          <w:lang w:val="sl-SI"/>
        </w:rPr>
        <w:t>2</w:t>
      </w:r>
      <w:r w:rsidRPr="003A52A5">
        <w:rPr>
          <w:rFonts w:cs="Arial"/>
          <w:lang w:val="sl-SI"/>
        </w:rPr>
        <w:t xml:space="preserve">) Osnova za obračun </w:t>
      </w:r>
      <w:proofErr w:type="spellStart"/>
      <w:r w:rsidRPr="003A52A5">
        <w:rPr>
          <w:rFonts w:cs="Arial"/>
          <w:lang w:val="sl-SI"/>
        </w:rPr>
        <w:t>okoljske</w:t>
      </w:r>
      <w:proofErr w:type="spellEnd"/>
      <w:r w:rsidRPr="003A52A5">
        <w:rPr>
          <w:rFonts w:cs="Arial"/>
          <w:lang w:val="sl-SI"/>
        </w:rPr>
        <w:t xml:space="preserve"> dajatve je enota obremenitve okolja za kilogram odloženih odpadkov na odlagališču.</w:t>
      </w:r>
    </w:p>
    <w:p w14:paraId="6EAC59DF" w14:textId="77777777" w:rsidR="008328E9" w:rsidRDefault="008328E9" w:rsidP="00EF735A">
      <w:pPr>
        <w:pStyle w:val="Odstavek"/>
        <w:spacing w:before="0"/>
        <w:rPr>
          <w:rFonts w:cs="Arial"/>
          <w:lang w:val="sl-SI"/>
        </w:rPr>
      </w:pPr>
    </w:p>
    <w:p w14:paraId="7483661A" w14:textId="6CB81FE4" w:rsidR="006C3E3E" w:rsidRPr="003A52A5" w:rsidRDefault="006C3E3E" w:rsidP="00EF735A">
      <w:pPr>
        <w:pStyle w:val="Odstavek"/>
        <w:spacing w:before="0"/>
        <w:rPr>
          <w:rFonts w:cs="Arial"/>
          <w:lang w:val="sl-SI"/>
        </w:rPr>
      </w:pPr>
      <w:r w:rsidRPr="003A52A5">
        <w:rPr>
          <w:rFonts w:cs="Arial"/>
          <w:lang w:val="sl-SI"/>
        </w:rPr>
        <w:t>(</w:t>
      </w:r>
      <w:r w:rsidR="00A327F1" w:rsidRPr="003A52A5">
        <w:rPr>
          <w:rFonts w:cs="Arial"/>
          <w:lang w:val="sl-SI"/>
        </w:rPr>
        <w:t>3</w:t>
      </w:r>
      <w:r w:rsidRPr="003A52A5">
        <w:rPr>
          <w:rFonts w:cs="Arial"/>
          <w:lang w:val="sl-SI"/>
        </w:rPr>
        <w:t>) Število enot obremenitve okolja za kilogram posamezne vrste odloženih odpadkov znaša:</w:t>
      </w:r>
    </w:p>
    <w:p w14:paraId="6FF0F9A4" w14:textId="77777777" w:rsidR="006C3E3E" w:rsidRPr="003A52A5" w:rsidRDefault="006C3E3E" w:rsidP="00EF735A">
      <w:pPr>
        <w:pStyle w:val="Alineazaodstavkom"/>
      </w:pPr>
      <w:r w:rsidRPr="003A52A5">
        <w:t>1 enoto obremenitve okolja za kilogram inertnih odpadkov;</w:t>
      </w:r>
    </w:p>
    <w:p w14:paraId="0AA5EEB5" w14:textId="77777777" w:rsidR="006C3E3E" w:rsidRPr="003A52A5" w:rsidRDefault="006C3E3E" w:rsidP="00EF735A">
      <w:pPr>
        <w:pStyle w:val="Alineazaodstavkom"/>
      </w:pPr>
      <w:r w:rsidRPr="003A52A5">
        <w:t>5 enot obremenitve okolja za kilogram nenevarnih odpadkov;</w:t>
      </w:r>
    </w:p>
    <w:p w14:paraId="1AC35F69" w14:textId="77777777" w:rsidR="006C3E3E" w:rsidRPr="003A52A5" w:rsidRDefault="006C3E3E" w:rsidP="00EF735A">
      <w:pPr>
        <w:pStyle w:val="Alineazaodstavkom"/>
      </w:pPr>
      <w:r w:rsidRPr="003A52A5">
        <w:t>10 enot obremenitve okolja za kilogram nevarnih odpadkov.</w:t>
      </w:r>
    </w:p>
    <w:p w14:paraId="68735461" w14:textId="77777777" w:rsidR="008328E9" w:rsidRDefault="008328E9" w:rsidP="00EF735A">
      <w:pPr>
        <w:pStyle w:val="Odstavek"/>
        <w:spacing w:before="0"/>
        <w:rPr>
          <w:rFonts w:cs="Arial"/>
          <w:lang w:val="sl-SI"/>
        </w:rPr>
      </w:pPr>
    </w:p>
    <w:p w14:paraId="543007D3" w14:textId="6500BD84" w:rsidR="006C3E3E" w:rsidRPr="003A52A5" w:rsidRDefault="006C3E3E" w:rsidP="00EF735A">
      <w:pPr>
        <w:pStyle w:val="Odstavek"/>
        <w:spacing w:before="0"/>
        <w:rPr>
          <w:rFonts w:cs="Arial"/>
          <w:lang w:val="sl-SI"/>
        </w:rPr>
      </w:pPr>
      <w:r w:rsidRPr="003A52A5">
        <w:rPr>
          <w:rFonts w:cs="Arial"/>
          <w:lang w:val="sl-SI"/>
        </w:rPr>
        <w:t>(</w:t>
      </w:r>
      <w:r w:rsidR="00A327F1" w:rsidRPr="003A52A5">
        <w:rPr>
          <w:rFonts w:cs="Arial"/>
          <w:lang w:val="sl-SI"/>
        </w:rPr>
        <w:t>4</w:t>
      </w:r>
      <w:r w:rsidRPr="003A52A5">
        <w:rPr>
          <w:rFonts w:cs="Arial"/>
          <w:lang w:val="sl-SI"/>
        </w:rPr>
        <w:t>) Obremenitev okolja za odložene odpadke se izračuna tako, da se seštejejo enote obremenitve okolja za posamezne vrste odloženih odpadkov, in sicer tako, da se masa posamezne vrste odpadkov pomnoži s številom enot obremenitve okolja iz prejšnjega odstavka.</w:t>
      </w:r>
    </w:p>
    <w:p w14:paraId="5E3C1744" w14:textId="77777777" w:rsidR="008328E9" w:rsidRDefault="008328E9" w:rsidP="00EF735A">
      <w:pPr>
        <w:pStyle w:val="Odstavek"/>
        <w:spacing w:before="0"/>
        <w:rPr>
          <w:rFonts w:cs="Arial"/>
          <w:lang w:val="sl-SI"/>
        </w:rPr>
      </w:pPr>
    </w:p>
    <w:p w14:paraId="51A90AD5" w14:textId="2B790EDE" w:rsidR="006C3E3E" w:rsidRPr="003A52A5" w:rsidRDefault="006C3E3E" w:rsidP="00EF735A">
      <w:pPr>
        <w:pStyle w:val="Odstavek"/>
        <w:spacing w:before="0"/>
        <w:rPr>
          <w:rFonts w:cs="Arial"/>
          <w:lang w:val="sl-SI"/>
        </w:rPr>
      </w:pPr>
      <w:r w:rsidRPr="003A52A5">
        <w:rPr>
          <w:rFonts w:cs="Arial"/>
          <w:lang w:val="sl-SI"/>
        </w:rPr>
        <w:t>(</w:t>
      </w:r>
      <w:r w:rsidR="00A327F1" w:rsidRPr="003A52A5">
        <w:rPr>
          <w:rFonts w:cs="Arial"/>
          <w:lang w:val="sl-SI"/>
        </w:rPr>
        <w:t>5</w:t>
      </w:r>
      <w:r w:rsidRPr="003A52A5">
        <w:rPr>
          <w:rFonts w:cs="Arial"/>
          <w:lang w:val="sl-SI"/>
        </w:rPr>
        <w:t>) </w:t>
      </w:r>
      <w:proofErr w:type="spellStart"/>
      <w:r w:rsidRPr="003A52A5">
        <w:rPr>
          <w:rFonts w:cs="Arial"/>
          <w:lang w:val="sl-SI"/>
        </w:rPr>
        <w:t>Okoljska</w:t>
      </w:r>
      <w:proofErr w:type="spellEnd"/>
      <w:r w:rsidRPr="003A52A5">
        <w:rPr>
          <w:rFonts w:cs="Arial"/>
          <w:lang w:val="sl-SI"/>
        </w:rPr>
        <w:t xml:space="preserve"> dajatev se izračuna tako, da se seštevek enot obremenitve okolja pomnoži z zneskom za enoto obremenitve okolja.</w:t>
      </w:r>
    </w:p>
    <w:p w14:paraId="60D7BAA8" w14:textId="77777777" w:rsidR="008328E9" w:rsidRDefault="008328E9" w:rsidP="00EF735A">
      <w:pPr>
        <w:pStyle w:val="Odstavek"/>
        <w:spacing w:before="0"/>
        <w:rPr>
          <w:rFonts w:cs="Arial"/>
          <w:lang w:val="sl-SI"/>
        </w:rPr>
      </w:pPr>
    </w:p>
    <w:p w14:paraId="5D117DC5" w14:textId="601009C4" w:rsidR="006C3E3E" w:rsidRPr="003A52A5" w:rsidRDefault="006C3E3E" w:rsidP="00EF735A">
      <w:pPr>
        <w:pStyle w:val="Odstavek"/>
        <w:spacing w:before="0"/>
        <w:rPr>
          <w:rFonts w:cs="Arial"/>
          <w:lang w:val="sl-SI"/>
        </w:rPr>
      </w:pPr>
      <w:bookmarkStart w:id="0" w:name="_Hlk119925235"/>
      <w:r w:rsidRPr="003A52A5">
        <w:rPr>
          <w:rFonts w:cs="Arial"/>
          <w:lang w:val="sl-SI"/>
        </w:rPr>
        <w:t>(</w:t>
      </w:r>
      <w:r w:rsidR="00A327F1" w:rsidRPr="003A52A5">
        <w:rPr>
          <w:rFonts w:cs="Arial"/>
          <w:lang w:val="sl-SI"/>
        </w:rPr>
        <w:t>6</w:t>
      </w:r>
      <w:r w:rsidRPr="003A52A5">
        <w:rPr>
          <w:rFonts w:cs="Arial"/>
          <w:lang w:val="sl-SI"/>
        </w:rPr>
        <w:t xml:space="preserve">) Znesek </w:t>
      </w:r>
      <w:proofErr w:type="spellStart"/>
      <w:r w:rsidR="00761452">
        <w:rPr>
          <w:rFonts w:cs="Arial"/>
          <w:lang w:val="sl-SI"/>
        </w:rPr>
        <w:t>okoljske</w:t>
      </w:r>
      <w:proofErr w:type="spellEnd"/>
      <w:r w:rsidR="00761452">
        <w:rPr>
          <w:rFonts w:cs="Arial"/>
          <w:lang w:val="sl-SI"/>
        </w:rPr>
        <w:t xml:space="preserve"> dajatve </w:t>
      </w:r>
      <w:r w:rsidRPr="003A52A5">
        <w:rPr>
          <w:rFonts w:cs="Arial"/>
          <w:lang w:val="sl-SI"/>
        </w:rPr>
        <w:t xml:space="preserve">za enoto obremenitve okolja </w:t>
      </w:r>
      <w:r w:rsidR="00E929CA">
        <w:rPr>
          <w:rFonts w:cs="Arial"/>
          <w:lang w:val="sl-SI"/>
        </w:rPr>
        <w:t>znaša</w:t>
      </w:r>
      <w:r w:rsidR="00761452" w:rsidRPr="00761452">
        <w:rPr>
          <w:rFonts w:cs="Arial"/>
          <w:lang w:val="sl-SI"/>
        </w:rPr>
        <w:t xml:space="preserve"> 0,005 eura</w:t>
      </w:r>
      <w:r w:rsidR="00E929CA">
        <w:rPr>
          <w:rFonts w:cs="Arial"/>
          <w:lang w:val="sl-SI"/>
        </w:rPr>
        <w:t xml:space="preserve"> in se </w:t>
      </w:r>
      <w:r w:rsidR="00761452" w:rsidRPr="00761452">
        <w:rPr>
          <w:rFonts w:cs="Arial"/>
          <w:lang w:val="sl-SI"/>
        </w:rPr>
        <w:t>s 1. januarjem 2028 poveča na 0,008 eur.</w:t>
      </w:r>
    </w:p>
    <w:bookmarkEnd w:id="0"/>
    <w:p w14:paraId="35B159D7" w14:textId="77777777" w:rsidR="008328E9" w:rsidRDefault="008328E9" w:rsidP="00EF735A">
      <w:pPr>
        <w:pStyle w:val="Odstavek"/>
        <w:spacing w:before="0"/>
        <w:rPr>
          <w:rFonts w:cs="Arial"/>
          <w:lang w:val="sl-SI"/>
        </w:rPr>
      </w:pPr>
    </w:p>
    <w:p w14:paraId="0312DA18" w14:textId="4F20BAF6" w:rsidR="00A327F1" w:rsidRPr="003A52A5" w:rsidRDefault="00A327F1" w:rsidP="00EF735A">
      <w:pPr>
        <w:pStyle w:val="Odstavek"/>
        <w:spacing w:before="0"/>
        <w:rPr>
          <w:rFonts w:cs="Arial"/>
          <w:lang w:val="sl-SI"/>
        </w:rPr>
      </w:pPr>
      <w:r w:rsidRPr="003A52A5">
        <w:rPr>
          <w:rFonts w:cs="Arial"/>
          <w:lang w:val="sl-SI"/>
        </w:rPr>
        <w:t xml:space="preserve">(7) </w:t>
      </w:r>
      <w:proofErr w:type="spellStart"/>
      <w:r w:rsidRPr="003A52A5">
        <w:rPr>
          <w:rFonts w:cs="Arial"/>
          <w:lang w:val="sl-SI"/>
        </w:rPr>
        <w:t>Okoljska</w:t>
      </w:r>
      <w:proofErr w:type="spellEnd"/>
      <w:r w:rsidRPr="003A52A5">
        <w:rPr>
          <w:rFonts w:cs="Arial"/>
          <w:lang w:val="sl-SI"/>
        </w:rPr>
        <w:t xml:space="preserve"> dajatev je prihodek proračuna države.</w:t>
      </w:r>
    </w:p>
    <w:p w14:paraId="054570F0" w14:textId="74881D4B" w:rsidR="004F4148" w:rsidRDefault="004F4148" w:rsidP="00EF735A">
      <w:pPr>
        <w:pStyle w:val="Odstavek"/>
        <w:spacing w:before="0"/>
        <w:rPr>
          <w:rFonts w:cs="Arial"/>
          <w:lang w:val="sl-SI"/>
        </w:rPr>
      </w:pPr>
    </w:p>
    <w:p w14:paraId="24D8C58D" w14:textId="77777777" w:rsidR="00E929CA" w:rsidRPr="003A52A5" w:rsidRDefault="00E929CA" w:rsidP="00EF735A">
      <w:pPr>
        <w:pStyle w:val="Odstavek"/>
        <w:spacing w:before="0"/>
        <w:rPr>
          <w:rFonts w:cs="Arial"/>
          <w:lang w:val="sl-SI"/>
        </w:rPr>
      </w:pPr>
    </w:p>
    <w:p w14:paraId="540A4CBA" w14:textId="77777777" w:rsidR="006C3E3E" w:rsidRPr="003A52A5" w:rsidRDefault="004F4148" w:rsidP="00EF735A">
      <w:pPr>
        <w:pStyle w:val="len"/>
        <w:spacing w:before="0"/>
        <w:rPr>
          <w:rFonts w:cs="Arial"/>
          <w:lang w:val="sl-SI"/>
        </w:rPr>
      </w:pPr>
      <w:r w:rsidRPr="003A52A5">
        <w:rPr>
          <w:rFonts w:cs="Arial"/>
          <w:lang w:val="sl-SI"/>
        </w:rPr>
        <w:t>4</w:t>
      </w:r>
      <w:r w:rsidR="006C3E3E" w:rsidRPr="003A52A5">
        <w:rPr>
          <w:rFonts w:cs="Arial"/>
          <w:lang w:val="sl-SI"/>
        </w:rPr>
        <w:t>. člen</w:t>
      </w:r>
    </w:p>
    <w:p w14:paraId="2A2E6C7B" w14:textId="270B3A76" w:rsidR="00A327F1" w:rsidRDefault="00A327F1" w:rsidP="00EF735A">
      <w:pPr>
        <w:pStyle w:val="len"/>
        <w:spacing w:before="0"/>
        <w:rPr>
          <w:rFonts w:cs="Arial"/>
          <w:lang w:val="sl-SI"/>
        </w:rPr>
      </w:pPr>
      <w:r w:rsidRPr="003A52A5">
        <w:rPr>
          <w:rFonts w:cs="Arial"/>
          <w:lang w:val="sl-SI"/>
        </w:rPr>
        <w:t xml:space="preserve">(nastanek obveznosti za obračun </w:t>
      </w:r>
      <w:r w:rsidR="002D2FF7" w:rsidRPr="003A52A5">
        <w:rPr>
          <w:rFonts w:cs="Arial"/>
          <w:lang w:val="sl-SI"/>
        </w:rPr>
        <w:t xml:space="preserve">in plačilo </w:t>
      </w:r>
      <w:proofErr w:type="spellStart"/>
      <w:r w:rsidRPr="003A52A5">
        <w:rPr>
          <w:rFonts w:cs="Arial"/>
          <w:lang w:val="sl-SI"/>
        </w:rPr>
        <w:t>okoljske</w:t>
      </w:r>
      <w:proofErr w:type="spellEnd"/>
      <w:r w:rsidRPr="003A52A5">
        <w:rPr>
          <w:rFonts w:cs="Arial"/>
          <w:lang w:val="sl-SI"/>
        </w:rPr>
        <w:t xml:space="preserve"> dajatve)</w:t>
      </w:r>
    </w:p>
    <w:p w14:paraId="74CE7CBB" w14:textId="77777777" w:rsidR="00EF735A" w:rsidRPr="003A52A5" w:rsidRDefault="00EF735A" w:rsidP="00EF735A">
      <w:pPr>
        <w:pStyle w:val="len"/>
        <w:spacing w:before="0"/>
        <w:rPr>
          <w:rFonts w:cs="Arial"/>
          <w:lang w:val="sl-SI"/>
        </w:rPr>
      </w:pPr>
    </w:p>
    <w:p w14:paraId="52046AF9" w14:textId="77777777" w:rsidR="006C3E3E" w:rsidRPr="003A52A5" w:rsidRDefault="006C3E3E" w:rsidP="00EF735A">
      <w:pPr>
        <w:pStyle w:val="Odstavek"/>
        <w:spacing w:before="0"/>
        <w:rPr>
          <w:rFonts w:cs="Arial"/>
          <w:lang w:val="sl-SI"/>
        </w:rPr>
      </w:pPr>
      <w:r w:rsidRPr="003A52A5">
        <w:rPr>
          <w:rFonts w:cs="Arial"/>
          <w:lang w:val="sl-SI"/>
        </w:rPr>
        <w:t xml:space="preserve">(1) Obveznost za obračun </w:t>
      </w:r>
      <w:proofErr w:type="spellStart"/>
      <w:r w:rsidRPr="003A52A5">
        <w:rPr>
          <w:rFonts w:cs="Arial"/>
          <w:lang w:val="sl-SI"/>
        </w:rPr>
        <w:t>okoljske</w:t>
      </w:r>
      <w:proofErr w:type="spellEnd"/>
      <w:r w:rsidRPr="003A52A5">
        <w:rPr>
          <w:rFonts w:cs="Arial"/>
          <w:lang w:val="sl-SI"/>
        </w:rPr>
        <w:t xml:space="preserve"> dajatve nastane, ko so odpadki odloženi na odlagališče</w:t>
      </w:r>
      <w:r w:rsidR="00431B0B" w:rsidRPr="003A52A5">
        <w:rPr>
          <w:rFonts w:cs="Arial"/>
          <w:lang w:val="sl-SI"/>
        </w:rPr>
        <w:t xml:space="preserve"> odpadkov</w:t>
      </w:r>
      <w:r w:rsidRPr="003A52A5">
        <w:rPr>
          <w:rFonts w:cs="Arial"/>
          <w:lang w:val="sl-SI"/>
        </w:rPr>
        <w:t>.</w:t>
      </w:r>
    </w:p>
    <w:p w14:paraId="29ADFC37" w14:textId="77777777" w:rsidR="008328E9" w:rsidRDefault="008328E9" w:rsidP="00EF735A">
      <w:pPr>
        <w:pStyle w:val="Odstavek"/>
        <w:spacing w:before="0"/>
        <w:rPr>
          <w:rFonts w:cs="Arial"/>
          <w:lang w:val="sl-SI"/>
        </w:rPr>
      </w:pPr>
    </w:p>
    <w:p w14:paraId="0E88A674" w14:textId="6FD06B36" w:rsidR="006C3E3E" w:rsidRPr="003A52A5" w:rsidRDefault="006C3E3E" w:rsidP="00EF735A">
      <w:pPr>
        <w:pStyle w:val="Odstavek"/>
        <w:spacing w:before="0"/>
        <w:rPr>
          <w:rFonts w:cs="Arial"/>
          <w:lang w:val="sl-SI"/>
        </w:rPr>
      </w:pPr>
      <w:r w:rsidRPr="003A52A5">
        <w:rPr>
          <w:rFonts w:cs="Arial"/>
          <w:lang w:val="sl-SI"/>
        </w:rPr>
        <w:t>(2) </w:t>
      </w:r>
      <w:proofErr w:type="spellStart"/>
      <w:r w:rsidRPr="003A52A5">
        <w:rPr>
          <w:rFonts w:cs="Arial"/>
          <w:lang w:val="sl-SI"/>
        </w:rPr>
        <w:t>Okoljska</w:t>
      </w:r>
      <w:proofErr w:type="spellEnd"/>
      <w:r w:rsidRPr="003A52A5">
        <w:rPr>
          <w:rFonts w:cs="Arial"/>
          <w:lang w:val="sl-SI"/>
        </w:rPr>
        <w:t xml:space="preserve"> dajatev se obračunava mesečno v skladu s </w:t>
      </w:r>
      <w:r w:rsidR="003A52A5">
        <w:rPr>
          <w:rFonts w:cs="Arial"/>
          <w:lang w:val="sl-SI"/>
        </w:rPr>
        <w:t>3</w:t>
      </w:r>
      <w:r w:rsidRPr="003A52A5">
        <w:rPr>
          <w:rFonts w:cs="Arial"/>
          <w:lang w:val="sl-SI"/>
        </w:rPr>
        <w:t>. členom te uredbe.</w:t>
      </w:r>
    </w:p>
    <w:p w14:paraId="432309C1" w14:textId="77777777" w:rsidR="008328E9" w:rsidRDefault="008328E9" w:rsidP="00EF735A">
      <w:pPr>
        <w:pStyle w:val="Odstavek"/>
        <w:spacing w:before="0"/>
        <w:rPr>
          <w:rFonts w:cs="Arial"/>
          <w:lang w:val="sl-SI"/>
        </w:rPr>
      </w:pPr>
    </w:p>
    <w:p w14:paraId="1597AD14" w14:textId="77777777" w:rsidR="004F4148" w:rsidRPr="003A52A5" w:rsidRDefault="004F4148" w:rsidP="00EF735A">
      <w:pPr>
        <w:pStyle w:val="Odstavek"/>
        <w:spacing w:before="0"/>
        <w:rPr>
          <w:rFonts w:cs="Arial"/>
          <w:lang w:val="sl-SI"/>
        </w:rPr>
      </w:pPr>
    </w:p>
    <w:p w14:paraId="76D78944" w14:textId="77777777" w:rsidR="006C3E3E" w:rsidRPr="003A52A5" w:rsidRDefault="004F4148" w:rsidP="00EF735A">
      <w:pPr>
        <w:pStyle w:val="len"/>
        <w:spacing w:before="0"/>
        <w:rPr>
          <w:rFonts w:cs="Arial"/>
          <w:lang w:val="sl-SI"/>
        </w:rPr>
      </w:pPr>
      <w:r w:rsidRPr="003A52A5">
        <w:rPr>
          <w:rFonts w:cs="Arial"/>
          <w:lang w:val="sl-SI"/>
        </w:rPr>
        <w:t>5</w:t>
      </w:r>
      <w:r w:rsidR="006C3E3E" w:rsidRPr="003A52A5">
        <w:rPr>
          <w:rFonts w:cs="Arial"/>
          <w:lang w:val="sl-SI"/>
        </w:rPr>
        <w:t>. člen</w:t>
      </w:r>
    </w:p>
    <w:p w14:paraId="45B9EDF7" w14:textId="30941728" w:rsidR="00A327F1" w:rsidRDefault="00A327F1" w:rsidP="00EF735A">
      <w:pPr>
        <w:pStyle w:val="len"/>
        <w:spacing w:before="0"/>
        <w:rPr>
          <w:rFonts w:cs="Arial"/>
          <w:lang w:val="sl-SI"/>
        </w:rPr>
      </w:pPr>
      <w:r w:rsidRPr="003A52A5">
        <w:rPr>
          <w:rFonts w:cs="Arial"/>
          <w:lang w:val="sl-SI"/>
        </w:rPr>
        <w:t xml:space="preserve">(zavezanec in plačnik za plačilo </w:t>
      </w:r>
      <w:proofErr w:type="spellStart"/>
      <w:r w:rsidRPr="003A52A5">
        <w:rPr>
          <w:rFonts w:cs="Arial"/>
          <w:lang w:val="sl-SI"/>
        </w:rPr>
        <w:t>okoljske</w:t>
      </w:r>
      <w:proofErr w:type="spellEnd"/>
      <w:r w:rsidRPr="003A52A5">
        <w:rPr>
          <w:rFonts w:cs="Arial"/>
          <w:lang w:val="sl-SI"/>
        </w:rPr>
        <w:t xml:space="preserve"> dajatve)</w:t>
      </w:r>
    </w:p>
    <w:p w14:paraId="3C4931DF" w14:textId="77777777" w:rsidR="00EF735A" w:rsidRPr="003A52A5" w:rsidRDefault="00EF735A" w:rsidP="00EF735A">
      <w:pPr>
        <w:pStyle w:val="len"/>
        <w:spacing w:before="0"/>
        <w:rPr>
          <w:rFonts w:cs="Arial"/>
          <w:lang w:val="sl-SI"/>
        </w:rPr>
      </w:pPr>
    </w:p>
    <w:p w14:paraId="08EAE4BE" w14:textId="720E2D59" w:rsidR="006C3E3E" w:rsidRPr="003A52A5" w:rsidRDefault="006C3E3E" w:rsidP="00EF735A">
      <w:pPr>
        <w:pStyle w:val="Odstavek"/>
        <w:spacing w:before="0"/>
        <w:rPr>
          <w:rFonts w:cs="Arial"/>
          <w:lang w:val="sl-SI"/>
        </w:rPr>
      </w:pPr>
      <w:r w:rsidRPr="003A52A5">
        <w:rPr>
          <w:rFonts w:cs="Arial"/>
          <w:lang w:val="sl-SI"/>
        </w:rPr>
        <w:t>(1) </w:t>
      </w:r>
      <w:r w:rsidRPr="002444F9">
        <w:rPr>
          <w:rFonts w:cs="Arial"/>
          <w:lang w:val="sl-SI"/>
        </w:rPr>
        <w:t xml:space="preserve">Zavezanec za plačilo </w:t>
      </w:r>
      <w:proofErr w:type="spellStart"/>
      <w:r w:rsidRPr="002444F9">
        <w:rPr>
          <w:rFonts w:cs="Arial"/>
          <w:lang w:val="sl-SI"/>
        </w:rPr>
        <w:t>okoljske</w:t>
      </w:r>
      <w:proofErr w:type="spellEnd"/>
      <w:r w:rsidRPr="002444F9">
        <w:rPr>
          <w:rFonts w:cs="Arial"/>
          <w:lang w:val="sl-SI"/>
        </w:rPr>
        <w:t xml:space="preserve"> dajatve je pravna oseba ali samostojni podjetnik posameznik, ki z odlaganjem odpadkov obremenjuje okolje.</w:t>
      </w:r>
    </w:p>
    <w:p w14:paraId="797230E9" w14:textId="77777777" w:rsidR="008328E9" w:rsidRDefault="008328E9" w:rsidP="00EF735A">
      <w:pPr>
        <w:pStyle w:val="Odstavek"/>
        <w:spacing w:before="0"/>
        <w:rPr>
          <w:rFonts w:cs="Arial"/>
          <w:lang w:val="sl-SI"/>
        </w:rPr>
      </w:pPr>
    </w:p>
    <w:p w14:paraId="58A27676" w14:textId="1C4EC701" w:rsidR="00A22CEF" w:rsidRDefault="00A22CEF" w:rsidP="00A22CEF">
      <w:pPr>
        <w:pStyle w:val="Odstavek"/>
        <w:spacing w:before="0"/>
        <w:rPr>
          <w:rFonts w:cs="Arial"/>
          <w:lang w:val="sl-SI"/>
        </w:rPr>
      </w:pPr>
      <w:r w:rsidRPr="003A52A5">
        <w:rPr>
          <w:rFonts w:cs="Arial"/>
          <w:lang w:val="sl-SI"/>
        </w:rPr>
        <w:t>(</w:t>
      </w:r>
      <w:r>
        <w:rPr>
          <w:rFonts w:cs="Arial"/>
          <w:lang w:val="sl-SI"/>
        </w:rPr>
        <w:t>2</w:t>
      </w:r>
      <w:r w:rsidRPr="003A52A5">
        <w:rPr>
          <w:rFonts w:cs="Arial"/>
          <w:lang w:val="sl-SI"/>
        </w:rPr>
        <w:t>)</w:t>
      </w:r>
      <w:r>
        <w:rPr>
          <w:rFonts w:cs="Arial"/>
          <w:lang w:val="sl-SI"/>
        </w:rPr>
        <w:t xml:space="preserve"> V primeru, ko je zavezanec za plačilo </w:t>
      </w:r>
      <w:proofErr w:type="spellStart"/>
      <w:r>
        <w:rPr>
          <w:rFonts w:cs="Arial"/>
          <w:lang w:val="sl-SI"/>
        </w:rPr>
        <w:t>okoljske</w:t>
      </w:r>
      <w:proofErr w:type="spellEnd"/>
      <w:r>
        <w:rPr>
          <w:rFonts w:cs="Arial"/>
          <w:lang w:val="sl-SI"/>
        </w:rPr>
        <w:t xml:space="preserve"> dajatve iz pr</w:t>
      </w:r>
      <w:r w:rsidR="00761452">
        <w:rPr>
          <w:rFonts w:cs="Arial"/>
          <w:lang w:val="sl-SI"/>
        </w:rPr>
        <w:t>ejšnjega</w:t>
      </w:r>
      <w:r>
        <w:rPr>
          <w:rFonts w:cs="Arial"/>
          <w:lang w:val="sl-SI"/>
        </w:rPr>
        <w:t xml:space="preserve"> odstavka izvajalec </w:t>
      </w:r>
      <w:r w:rsidR="007A3810">
        <w:rPr>
          <w:rFonts w:cs="Arial"/>
          <w:lang w:val="sl-SI"/>
        </w:rPr>
        <w:t xml:space="preserve">obvezne </w:t>
      </w:r>
      <w:r w:rsidR="00E929CA">
        <w:rPr>
          <w:rFonts w:cs="Arial"/>
          <w:lang w:val="sl-SI"/>
        </w:rPr>
        <w:t xml:space="preserve">občinske gospodarske </w:t>
      </w:r>
      <w:r>
        <w:rPr>
          <w:rFonts w:cs="Arial"/>
          <w:lang w:val="sl-SI"/>
        </w:rPr>
        <w:t>javne službe zbiranja</w:t>
      </w:r>
      <w:r w:rsidR="00E929CA">
        <w:rPr>
          <w:rFonts w:cs="Arial"/>
          <w:lang w:val="sl-SI"/>
        </w:rPr>
        <w:t xml:space="preserve"> določenih vrst komunalnih odpadkov</w:t>
      </w:r>
      <w:r>
        <w:rPr>
          <w:rFonts w:cs="Arial"/>
          <w:lang w:val="sl-SI"/>
        </w:rPr>
        <w:t xml:space="preserve"> ali </w:t>
      </w:r>
      <w:r w:rsidR="00E929CA">
        <w:rPr>
          <w:rFonts w:cs="Arial"/>
          <w:lang w:val="sl-SI"/>
        </w:rPr>
        <w:t xml:space="preserve">izvajalec </w:t>
      </w:r>
      <w:r w:rsidR="007A3810">
        <w:rPr>
          <w:rFonts w:cs="Arial"/>
          <w:lang w:val="sl-SI"/>
        </w:rPr>
        <w:t xml:space="preserve">obvezne </w:t>
      </w:r>
      <w:r w:rsidR="00E929CA">
        <w:rPr>
          <w:rFonts w:cs="Arial"/>
          <w:lang w:val="sl-SI"/>
        </w:rPr>
        <w:t xml:space="preserve">občinske gospodarske javne službe </w:t>
      </w:r>
      <w:r>
        <w:rPr>
          <w:rFonts w:cs="Arial"/>
          <w:lang w:val="sl-SI"/>
        </w:rPr>
        <w:t xml:space="preserve">obdelave </w:t>
      </w:r>
      <w:r w:rsidR="00E929CA">
        <w:rPr>
          <w:rFonts w:cs="Arial"/>
          <w:lang w:val="sl-SI"/>
        </w:rPr>
        <w:t xml:space="preserve">določenih vrst </w:t>
      </w:r>
      <w:r>
        <w:rPr>
          <w:rFonts w:cs="Arial"/>
          <w:lang w:val="sl-SI"/>
        </w:rPr>
        <w:t xml:space="preserve">komunalnih odpadkov, se stroški </w:t>
      </w:r>
      <w:proofErr w:type="spellStart"/>
      <w:r>
        <w:rPr>
          <w:rFonts w:cs="Arial"/>
          <w:lang w:val="sl-SI"/>
        </w:rPr>
        <w:t>okoljske</w:t>
      </w:r>
      <w:proofErr w:type="spellEnd"/>
      <w:r>
        <w:rPr>
          <w:rFonts w:cs="Arial"/>
          <w:lang w:val="sl-SI"/>
        </w:rPr>
        <w:t xml:space="preserve"> dajatve med uporabnike javne službe porazdelijo glede na količino opravljene storitve javne službe odlaganja komunalnih odpadkov v skladu s predpisom, ki ureja </w:t>
      </w:r>
      <w:r w:rsidRPr="00FC2545">
        <w:rPr>
          <w:rFonts w:cs="Arial"/>
          <w:lang w:val="sl-SI"/>
        </w:rPr>
        <w:t>metodologij</w:t>
      </w:r>
      <w:r>
        <w:rPr>
          <w:rFonts w:cs="Arial"/>
          <w:lang w:val="sl-SI"/>
        </w:rPr>
        <w:t>o</w:t>
      </w:r>
      <w:r w:rsidRPr="00FC2545">
        <w:rPr>
          <w:rFonts w:cs="Arial"/>
          <w:lang w:val="sl-SI"/>
        </w:rPr>
        <w:t xml:space="preserve"> za oblikovanje cen storitev obveznih občinskih gospodarskih javnih služb varstva okolja</w:t>
      </w:r>
      <w:r>
        <w:rPr>
          <w:rFonts w:cs="Arial"/>
          <w:lang w:val="sl-SI"/>
        </w:rPr>
        <w:t>.</w:t>
      </w:r>
    </w:p>
    <w:p w14:paraId="0F5B6818" w14:textId="77777777" w:rsidR="00A22CEF" w:rsidRDefault="00A22CEF" w:rsidP="00EF735A">
      <w:pPr>
        <w:pStyle w:val="Odstavek"/>
        <w:spacing w:before="0"/>
        <w:rPr>
          <w:rFonts w:cs="Arial"/>
          <w:lang w:val="sl-SI"/>
        </w:rPr>
      </w:pPr>
    </w:p>
    <w:p w14:paraId="3655EF7E" w14:textId="33542267" w:rsidR="006C3E3E" w:rsidRPr="003A52A5" w:rsidRDefault="006C3E3E" w:rsidP="00EF735A">
      <w:pPr>
        <w:pStyle w:val="Odstavek"/>
        <w:spacing w:before="0"/>
        <w:rPr>
          <w:rFonts w:cs="Arial"/>
          <w:lang w:val="sl-SI"/>
        </w:rPr>
      </w:pPr>
      <w:r w:rsidRPr="003A52A5">
        <w:rPr>
          <w:rFonts w:cs="Arial"/>
          <w:lang w:val="sl-SI"/>
        </w:rPr>
        <w:t>(</w:t>
      </w:r>
      <w:r w:rsidR="00A22CEF">
        <w:rPr>
          <w:rFonts w:cs="Arial"/>
          <w:lang w:val="sl-SI"/>
        </w:rPr>
        <w:t>3</w:t>
      </w:r>
      <w:r w:rsidRPr="003A52A5">
        <w:rPr>
          <w:rFonts w:cs="Arial"/>
          <w:lang w:val="sl-SI"/>
        </w:rPr>
        <w:t>) Za zavezanca iz pr</w:t>
      </w:r>
      <w:r w:rsidR="00761452">
        <w:rPr>
          <w:rFonts w:cs="Arial"/>
          <w:lang w:val="sl-SI"/>
        </w:rPr>
        <w:t>vega</w:t>
      </w:r>
      <w:r w:rsidRPr="003A52A5">
        <w:rPr>
          <w:rFonts w:cs="Arial"/>
          <w:lang w:val="sl-SI"/>
        </w:rPr>
        <w:t xml:space="preserve"> odstavka</w:t>
      </w:r>
      <w:r w:rsidR="00761452">
        <w:rPr>
          <w:rFonts w:cs="Arial"/>
          <w:lang w:val="sl-SI"/>
        </w:rPr>
        <w:t xml:space="preserve"> tega člena</w:t>
      </w:r>
      <w:r w:rsidRPr="003A52A5">
        <w:rPr>
          <w:rFonts w:cs="Arial"/>
          <w:lang w:val="sl-SI"/>
        </w:rPr>
        <w:t xml:space="preserve"> </w:t>
      </w:r>
      <w:proofErr w:type="spellStart"/>
      <w:r w:rsidRPr="003A52A5">
        <w:rPr>
          <w:rFonts w:cs="Arial"/>
          <w:lang w:val="sl-SI"/>
        </w:rPr>
        <w:t>okoljsko</w:t>
      </w:r>
      <w:proofErr w:type="spellEnd"/>
      <w:r w:rsidRPr="003A52A5">
        <w:rPr>
          <w:rFonts w:cs="Arial"/>
          <w:lang w:val="sl-SI"/>
        </w:rPr>
        <w:t xml:space="preserve"> dajatev obračunava in plačuje upravljavec odlagališča (v nadaljnjem besedilu: </w:t>
      </w:r>
      <w:r w:rsidRPr="00B162E7">
        <w:rPr>
          <w:rFonts w:cs="Arial"/>
          <w:lang w:val="sl-SI"/>
        </w:rPr>
        <w:t xml:space="preserve">plačnik </w:t>
      </w:r>
      <w:proofErr w:type="spellStart"/>
      <w:r w:rsidRPr="00B162E7">
        <w:rPr>
          <w:rFonts w:cs="Arial"/>
          <w:lang w:val="sl-SI"/>
        </w:rPr>
        <w:t>okoljske</w:t>
      </w:r>
      <w:proofErr w:type="spellEnd"/>
      <w:r w:rsidRPr="00B162E7">
        <w:rPr>
          <w:rFonts w:cs="Arial"/>
          <w:lang w:val="sl-SI"/>
        </w:rPr>
        <w:t xml:space="preserve"> dajatve</w:t>
      </w:r>
      <w:r w:rsidRPr="003A52A5">
        <w:rPr>
          <w:rFonts w:cs="Arial"/>
          <w:lang w:val="sl-SI"/>
        </w:rPr>
        <w:t>).</w:t>
      </w:r>
    </w:p>
    <w:p w14:paraId="0FB110DC" w14:textId="77777777" w:rsidR="008328E9" w:rsidRDefault="008328E9" w:rsidP="00EF735A">
      <w:pPr>
        <w:pStyle w:val="Odstavek"/>
        <w:spacing w:before="0"/>
        <w:rPr>
          <w:rFonts w:cs="Arial"/>
          <w:lang w:val="sl-SI"/>
        </w:rPr>
      </w:pPr>
    </w:p>
    <w:p w14:paraId="19D17D88" w14:textId="7AD9AB57" w:rsidR="006C3E3E" w:rsidRPr="003A52A5" w:rsidRDefault="006C3E3E" w:rsidP="00EF735A">
      <w:pPr>
        <w:pStyle w:val="Odstavek"/>
        <w:spacing w:before="0"/>
        <w:rPr>
          <w:rFonts w:cs="Arial"/>
          <w:lang w:val="sl-SI"/>
        </w:rPr>
      </w:pPr>
      <w:r w:rsidRPr="003A52A5">
        <w:rPr>
          <w:rFonts w:cs="Arial"/>
          <w:lang w:val="sl-SI"/>
        </w:rPr>
        <w:t>(</w:t>
      </w:r>
      <w:r w:rsidR="00A22CEF">
        <w:rPr>
          <w:rFonts w:cs="Arial"/>
          <w:lang w:val="sl-SI"/>
        </w:rPr>
        <w:t>4</w:t>
      </w:r>
      <w:r w:rsidRPr="003A52A5">
        <w:rPr>
          <w:rFonts w:cs="Arial"/>
          <w:lang w:val="sl-SI"/>
        </w:rPr>
        <w:t xml:space="preserve">) Plačnik </w:t>
      </w:r>
      <w:proofErr w:type="spellStart"/>
      <w:r w:rsidRPr="003A52A5">
        <w:rPr>
          <w:rFonts w:cs="Arial"/>
          <w:lang w:val="sl-SI"/>
        </w:rPr>
        <w:t>okoljske</w:t>
      </w:r>
      <w:proofErr w:type="spellEnd"/>
      <w:r w:rsidRPr="003A52A5">
        <w:rPr>
          <w:rFonts w:cs="Arial"/>
          <w:lang w:val="sl-SI"/>
        </w:rPr>
        <w:t xml:space="preserve"> dajatve v evidenci o odlaganju odpadkov za posameznega zavezanca iz prvega odstavka </w:t>
      </w:r>
      <w:r w:rsidR="00AD1F35">
        <w:rPr>
          <w:rFonts w:cs="Arial"/>
          <w:lang w:val="sl-SI"/>
        </w:rPr>
        <w:t>tega člena</w:t>
      </w:r>
      <w:r w:rsidRPr="003A52A5">
        <w:rPr>
          <w:rFonts w:cs="Arial"/>
          <w:lang w:val="sl-SI"/>
        </w:rPr>
        <w:t xml:space="preserve"> vodi evidenco o količini odloženih inertnih, nenevarnih in nevarnih odpadkov, za katere je nastala obveznost za obračun </w:t>
      </w:r>
      <w:proofErr w:type="spellStart"/>
      <w:r w:rsidRPr="003A52A5">
        <w:rPr>
          <w:rFonts w:cs="Arial"/>
          <w:lang w:val="sl-SI"/>
        </w:rPr>
        <w:t>okoljske</w:t>
      </w:r>
      <w:proofErr w:type="spellEnd"/>
      <w:r w:rsidRPr="003A52A5">
        <w:rPr>
          <w:rFonts w:cs="Arial"/>
          <w:lang w:val="sl-SI"/>
        </w:rPr>
        <w:t xml:space="preserve"> dajatve. Podatki v evidenci se morajo ujemati s podatki iz mesečnih obračunov </w:t>
      </w:r>
      <w:proofErr w:type="spellStart"/>
      <w:r w:rsidRPr="003A52A5">
        <w:rPr>
          <w:rFonts w:cs="Arial"/>
          <w:lang w:val="sl-SI"/>
        </w:rPr>
        <w:t>okoljske</w:t>
      </w:r>
      <w:proofErr w:type="spellEnd"/>
      <w:r w:rsidRPr="003A52A5">
        <w:rPr>
          <w:rFonts w:cs="Arial"/>
          <w:lang w:val="sl-SI"/>
        </w:rPr>
        <w:t xml:space="preserve"> dajatve.</w:t>
      </w:r>
    </w:p>
    <w:p w14:paraId="122968A7" w14:textId="77777777" w:rsidR="003172D4" w:rsidRDefault="003172D4" w:rsidP="00EF735A">
      <w:pPr>
        <w:pStyle w:val="Odstavek"/>
        <w:spacing w:before="0"/>
        <w:rPr>
          <w:rFonts w:cs="Arial"/>
          <w:lang w:val="sl-SI"/>
        </w:rPr>
      </w:pPr>
    </w:p>
    <w:p w14:paraId="14C98C32" w14:textId="708ADD66" w:rsidR="006C3E3E" w:rsidRPr="003A52A5" w:rsidRDefault="003172D4" w:rsidP="00EF735A">
      <w:pPr>
        <w:pStyle w:val="Odstavek"/>
        <w:spacing w:before="0"/>
        <w:rPr>
          <w:rFonts w:cs="Arial"/>
          <w:lang w:val="sl-SI"/>
        </w:rPr>
      </w:pPr>
      <w:r>
        <w:rPr>
          <w:rFonts w:cs="Arial"/>
          <w:lang w:val="sl-SI"/>
        </w:rPr>
        <w:t xml:space="preserve">(5) </w:t>
      </w:r>
      <w:r w:rsidR="006C3E3E" w:rsidRPr="003A52A5">
        <w:rPr>
          <w:rFonts w:cs="Arial"/>
          <w:lang w:val="sl-SI"/>
        </w:rPr>
        <w:t xml:space="preserve">Na podlagi evidence iz </w:t>
      </w:r>
      <w:r w:rsidR="00AD1F35">
        <w:rPr>
          <w:rFonts w:cs="Arial"/>
          <w:lang w:val="sl-SI"/>
        </w:rPr>
        <w:t>prejšnjega odstavka</w:t>
      </w:r>
      <w:r w:rsidR="006C3E3E" w:rsidRPr="003A52A5">
        <w:rPr>
          <w:rFonts w:cs="Arial"/>
          <w:lang w:val="sl-SI"/>
        </w:rPr>
        <w:t xml:space="preserve"> </w:t>
      </w:r>
      <w:r w:rsidR="006C3E3E" w:rsidRPr="00B162E7">
        <w:rPr>
          <w:rFonts w:cs="Arial"/>
          <w:lang w:val="sl-SI"/>
        </w:rPr>
        <w:t xml:space="preserve">plačnik </w:t>
      </w:r>
      <w:proofErr w:type="spellStart"/>
      <w:r w:rsidR="006C3E3E" w:rsidRPr="00B162E7">
        <w:rPr>
          <w:rFonts w:cs="Arial"/>
          <w:lang w:val="sl-SI"/>
        </w:rPr>
        <w:t>okoljske</w:t>
      </w:r>
      <w:proofErr w:type="spellEnd"/>
      <w:r w:rsidR="006C3E3E" w:rsidRPr="00B162E7">
        <w:rPr>
          <w:rFonts w:cs="Arial"/>
          <w:lang w:val="sl-SI"/>
        </w:rPr>
        <w:t xml:space="preserve"> dajatve </w:t>
      </w:r>
      <w:r w:rsidR="006C3E3E" w:rsidRPr="003A52A5">
        <w:rPr>
          <w:rFonts w:cs="Arial"/>
          <w:lang w:val="sl-SI"/>
        </w:rPr>
        <w:t xml:space="preserve">sestavi mesečni obračun </w:t>
      </w:r>
      <w:proofErr w:type="spellStart"/>
      <w:r w:rsidR="006C3E3E" w:rsidRPr="003A52A5">
        <w:rPr>
          <w:rFonts w:cs="Arial"/>
          <w:lang w:val="sl-SI"/>
        </w:rPr>
        <w:t>okoljske</w:t>
      </w:r>
      <w:proofErr w:type="spellEnd"/>
      <w:r w:rsidR="006C3E3E" w:rsidRPr="003A52A5">
        <w:rPr>
          <w:rFonts w:cs="Arial"/>
          <w:lang w:val="sl-SI"/>
        </w:rPr>
        <w:t xml:space="preserve"> dajatve in ga predloži </w:t>
      </w:r>
      <w:r w:rsidR="000D675F" w:rsidRPr="003A52A5">
        <w:rPr>
          <w:rFonts w:cs="Arial"/>
          <w:lang w:val="sl-SI"/>
        </w:rPr>
        <w:t>finančn</w:t>
      </w:r>
      <w:r w:rsidR="00B669FC">
        <w:rPr>
          <w:rFonts w:cs="Arial"/>
          <w:lang w:val="sl-SI"/>
        </w:rPr>
        <w:t>i</w:t>
      </w:r>
      <w:r w:rsidR="000D675F" w:rsidRPr="003A52A5">
        <w:rPr>
          <w:rFonts w:cs="Arial"/>
          <w:lang w:val="sl-SI"/>
        </w:rPr>
        <w:t xml:space="preserve"> uprav</w:t>
      </w:r>
      <w:r w:rsidR="00B669FC">
        <w:rPr>
          <w:rFonts w:cs="Arial"/>
          <w:lang w:val="sl-SI"/>
        </w:rPr>
        <w:t>i</w:t>
      </w:r>
      <w:r w:rsidR="000D675F" w:rsidRPr="003A52A5">
        <w:rPr>
          <w:rFonts w:cs="Arial"/>
          <w:lang w:val="sl-SI"/>
        </w:rPr>
        <w:t xml:space="preserve"> </w:t>
      </w:r>
      <w:r w:rsidR="006C3E3E" w:rsidRPr="003A52A5">
        <w:rPr>
          <w:rFonts w:cs="Arial"/>
          <w:lang w:val="sl-SI"/>
        </w:rPr>
        <w:t xml:space="preserve">na obrazcu, </w:t>
      </w:r>
      <w:r w:rsidR="000D675F" w:rsidRPr="003A52A5">
        <w:rPr>
          <w:rFonts w:cs="Arial"/>
          <w:lang w:val="sl-SI"/>
        </w:rPr>
        <w:t xml:space="preserve">ki je objavljen na spletni strani finančne uprave, </w:t>
      </w:r>
      <w:r w:rsidR="006C3E3E" w:rsidRPr="003A52A5">
        <w:rPr>
          <w:rFonts w:cs="Arial"/>
          <w:lang w:val="sl-SI"/>
        </w:rPr>
        <w:t>do 25. dne v mesecu, ki sledi mesecu, v katerem je nastala obveznost za ta obračun.</w:t>
      </w:r>
    </w:p>
    <w:p w14:paraId="71E48941" w14:textId="77777777" w:rsidR="008328E9" w:rsidRDefault="008328E9" w:rsidP="00EF735A">
      <w:pPr>
        <w:pStyle w:val="Odstavek"/>
        <w:spacing w:before="0"/>
        <w:rPr>
          <w:rFonts w:cs="Arial"/>
          <w:lang w:val="sl-SI"/>
        </w:rPr>
      </w:pPr>
    </w:p>
    <w:p w14:paraId="13142013" w14:textId="42F91118" w:rsidR="006C3E3E" w:rsidRPr="003A52A5" w:rsidRDefault="006C3E3E" w:rsidP="00EF735A">
      <w:pPr>
        <w:pStyle w:val="Odstavek"/>
        <w:spacing w:before="0"/>
        <w:rPr>
          <w:rFonts w:cs="Arial"/>
          <w:lang w:val="sl-SI"/>
        </w:rPr>
      </w:pPr>
      <w:r w:rsidRPr="003A52A5">
        <w:rPr>
          <w:rFonts w:cs="Arial"/>
          <w:lang w:val="sl-SI"/>
        </w:rPr>
        <w:t>(</w:t>
      </w:r>
      <w:r w:rsidR="00761452">
        <w:rPr>
          <w:rFonts w:cs="Arial"/>
          <w:lang w:val="sl-SI"/>
        </w:rPr>
        <w:t>6</w:t>
      </w:r>
      <w:r w:rsidRPr="003A52A5">
        <w:rPr>
          <w:rFonts w:cs="Arial"/>
          <w:lang w:val="sl-SI"/>
        </w:rPr>
        <w:t>) </w:t>
      </w:r>
      <w:r w:rsidR="00214F1F">
        <w:rPr>
          <w:rFonts w:cs="Arial"/>
          <w:lang w:val="sl-SI"/>
        </w:rPr>
        <w:t>V</w:t>
      </w:r>
      <w:r w:rsidRPr="003A52A5">
        <w:rPr>
          <w:rFonts w:cs="Arial"/>
          <w:lang w:val="sl-SI"/>
        </w:rPr>
        <w:t xml:space="preserve"> obračun</w:t>
      </w:r>
      <w:r w:rsidR="00214F1F">
        <w:rPr>
          <w:rFonts w:cs="Arial"/>
          <w:lang w:val="sl-SI"/>
        </w:rPr>
        <w:t>u</w:t>
      </w:r>
      <w:r w:rsidRPr="003A52A5">
        <w:rPr>
          <w:rFonts w:cs="Arial"/>
          <w:lang w:val="sl-SI"/>
        </w:rPr>
        <w:t xml:space="preserve"> iz prejšnjega odstavka mora</w:t>
      </w:r>
      <w:r w:rsidR="00276BF0">
        <w:rPr>
          <w:rFonts w:cs="Arial"/>
          <w:lang w:val="sl-SI"/>
        </w:rPr>
        <w:t xml:space="preserve"> plačnik </w:t>
      </w:r>
      <w:proofErr w:type="spellStart"/>
      <w:r w:rsidR="00276BF0">
        <w:rPr>
          <w:rFonts w:cs="Arial"/>
          <w:lang w:val="sl-SI"/>
        </w:rPr>
        <w:t>okoljske</w:t>
      </w:r>
      <w:proofErr w:type="spellEnd"/>
      <w:r w:rsidR="00276BF0">
        <w:rPr>
          <w:rFonts w:cs="Arial"/>
          <w:lang w:val="sl-SI"/>
        </w:rPr>
        <w:t xml:space="preserve"> dajatve</w:t>
      </w:r>
      <w:r w:rsidR="00214F1F">
        <w:rPr>
          <w:rFonts w:cs="Arial"/>
          <w:lang w:val="sl-SI"/>
        </w:rPr>
        <w:t xml:space="preserve"> navesti</w:t>
      </w:r>
      <w:r w:rsidRPr="003A52A5">
        <w:rPr>
          <w:rFonts w:cs="Arial"/>
          <w:lang w:val="sl-SI"/>
        </w:rPr>
        <w:t xml:space="preserve"> naslednj</w:t>
      </w:r>
      <w:r w:rsidR="00214F1F">
        <w:rPr>
          <w:rFonts w:cs="Arial"/>
          <w:lang w:val="sl-SI"/>
        </w:rPr>
        <w:t>e</w:t>
      </w:r>
      <w:r w:rsidRPr="003A52A5">
        <w:rPr>
          <w:rFonts w:cs="Arial"/>
          <w:lang w:val="sl-SI"/>
        </w:rPr>
        <w:t xml:space="preserve"> podatk</w:t>
      </w:r>
      <w:r w:rsidR="00214F1F">
        <w:rPr>
          <w:rFonts w:cs="Arial"/>
          <w:lang w:val="sl-SI"/>
        </w:rPr>
        <w:t>e</w:t>
      </w:r>
      <w:r w:rsidRPr="003A52A5">
        <w:rPr>
          <w:rFonts w:cs="Arial"/>
          <w:lang w:val="sl-SI"/>
        </w:rPr>
        <w:t>:</w:t>
      </w:r>
    </w:p>
    <w:p w14:paraId="061F3E71" w14:textId="5E67AF1B" w:rsidR="006C3E3E" w:rsidRPr="003A52A5" w:rsidRDefault="00761907" w:rsidP="00EF735A">
      <w:pPr>
        <w:pStyle w:val="Alineazaodstavkom"/>
      </w:pPr>
      <w:r>
        <w:t xml:space="preserve">davčno </w:t>
      </w:r>
      <w:r w:rsidR="006C3E3E" w:rsidRPr="003A52A5">
        <w:t xml:space="preserve">obdobje, na katero se nanaša obveznost plačila </w:t>
      </w:r>
      <w:proofErr w:type="spellStart"/>
      <w:r w:rsidR="006C3E3E" w:rsidRPr="003A52A5">
        <w:t>okoljske</w:t>
      </w:r>
      <w:proofErr w:type="spellEnd"/>
      <w:r w:rsidR="006C3E3E" w:rsidRPr="003A52A5">
        <w:t xml:space="preserve"> dajatve</w:t>
      </w:r>
      <w:r w:rsidR="00BD1B70">
        <w:t>,</w:t>
      </w:r>
    </w:p>
    <w:p w14:paraId="77AB17BD" w14:textId="4AA562BD" w:rsidR="006C3E3E" w:rsidRPr="003A52A5" w:rsidRDefault="00BD1B70" w:rsidP="007542E5">
      <w:pPr>
        <w:pStyle w:val="Alineazaodstavkom"/>
      </w:pPr>
      <w:r>
        <w:t>lokacijo odlagališča</w:t>
      </w:r>
      <w:r w:rsidR="00070767">
        <w:t xml:space="preserve"> (naslov)</w:t>
      </w:r>
      <w:r>
        <w:t>,</w:t>
      </w:r>
    </w:p>
    <w:p w14:paraId="79BAB1AE" w14:textId="7F1FAFF5" w:rsidR="006C3E3E" w:rsidRPr="003A52A5" w:rsidRDefault="006C3E3E" w:rsidP="00EF735A">
      <w:pPr>
        <w:pStyle w:val="Alineazaodstavkom"/>
      </w:pPr>
      <w:r w:rsidRPr="003A52A5">
        <w:t>količina odloženih odpadkov po posamezni vrsti odpadkov</w:t>
      </w:r>
      <w:r w:rsidR="00BD1B70">
        <w:t>,</w:t>
      </w:r>
    </w:p>
    <w:p w14:paraId="0A3F6284" w14:textId="0F840BAB" w:rsidR="006C3E3E" w:rsidRPr="003A52A5" w:rsidRDefault="006C3E3E" w:rsidP="00EF735A">
      <w:pPr>
        <w:pStyle w:val="Alineazaodstavkom"/>
      </w:pPr>
      <w:r w:rsidRPr="003A52A5">
        <w:t xml:space="preserve">znesek obračunane </w:t>
      </w:r>
      <w:proofErr w:type="spellStart"/>
      <w:r w:rsidRPr="003A52A5">
        <w:t>okoljske</w:t>
      </w:r>
      <w:proofErr w:type="spellEnd"/>
      <w:r w:rsidRPr="003A52A5">
        <w:t xml:space="preserve"> dajatve po posamezni vrsti odpadkov</w:t>
      </w:r>
      <w:r w:rsidR="00BD1B70">
        <w:t>, in</w:t>
      </w:r>
    </w:p>
    <w:p w14:paraId="3CB310A2" w14:textId="77777777" w:rsidR="006C3E3E" w:rsidRPr="003A52A5" w:rsidRDefault="006C3E3E" w:rsidP="00EF735A">
      <w:pPr>
        <w:pStyle w:val="Alineazaodstavkom"/>
      </w:pPr>
      <w:r w:rsidRPr="003A52A5">
        <w:t xml:space="preserve">znesek za plačilo </w:t>
      </w:r>
      <w:proofErr w:type="spellStart"/>
      <w:r w:rsidRPr="003A52A5">
        <w:t>okoljske</w:t>
      </w:r>
      <w:proofErr w:type="spellEnd"/>
      <w:r w:rsidRPr="003A52A5">
        <w:t xml:space="preserve"> dajatve.</w:t>
      </w:r>
    </w:p>
    <w:p w14:paraId="2C53FD3B" w14:textId="77777777" w:rsidR="008328E9" w:rsidRDefault="008328E9" w:rsidP="00EF735A">
      <w:pPr>
        <w:pStyle w:val="Odstavek"/>
        <w:spacing w:before="0"/>
        <w:rPr>
          <w:rFonts w:cs="Arial"/>
          <w:lang w:val="sl-SI"/>
        </w:rPr>
      </w:pPr>
    </w:p>
    <w:p w14:paraId="3C91F6E9" w14:textId="3670B423" w:rsidR="006C3E3E" w:rsidRDefault="006C3E3E" w:rsidP="00EF735A">
      <w:pPr>
        <w:pStyle w:val="Odstavek"/>
        <w:spacing w:before="0"/>
        <w:rPr>
          <w:rFonts w:cs="Arial"/>
          <w:lang w:val="sl-SI"/>
        </w:rPr>
      </w:pPr>
      <w:r w:rsidRPr="003A52A5">
        <w:rPr>
          <w:rFonts w:cs="Arial"/>
          <w:lang w:val="sl-SI"/>
        </w:rPr>
        <w:t>(</w:t>
      </w:r>
      <w:r w:rsidR="007A3810">
        <w:rPr>
          <w:rFonts w:cs="Arial"/>
          <w:lang w:val="sl-SI"/>
        </w:rPr>
        <w:t>7</w:t>
      </w:r>
      <w:r w:rsidRPr="003A52A5">
        <w:rPr>
          <w:rFonts w:cs="Arial"/>
          <w:lang w:val="sl-SI"/>
        </w:rPr>
        <w:t xml:space="preserve">) Plačnik </w:t>
      </w:r>
      <w:proofErr w:type="spellStart"/>
      <w:r w:rsidRPr="003A52A5">
        <w:rPr>
          <w:rFonts w:cs="Arial"/>
          <w:lang w:val="sl-SI"/>
        </w:rPr>
        <w:t>okoljske</w:t>
      </w:r>
      <w:proofErr w:type="spellEnd"/>
      <w:r w:rsidRPr="003A52A5">
        <w:rPr>
          <w:rFonts w:cs="Arial"/>
          <w:lang w:val="sl-SI"/>
        </w:rPr>
        <w:t xml:space="preserve"> dajatve plača obračunano </w:t>
      </w:r>
      <w:proofErr w:type="spellStart"/>
      <w:r w:rsidRPr="003A52A5">
        <w:rPr>
          <w:rFonts w:cs="Arial"/>
          <w:lang w:val="sl-SI"/>
        </w:rPr>
        <w:t>okoljsko</w:t>
      </w:r>
      <w:proofErr w:type="spellEnd"/>
      <w:r w:rsidRPr="003A52A5">
        <w:rPr>
          <w:rFonts w:cs="Arial"/>
          <w:lang w:val="sl-SI"/>
        </w:rPr>
        <w:t xml:space="preserve"> dajatev do zadnjega </w:t>
      </w:r>
      <w:r w:rsidR="00B61950">
        <w:rPr>
          <w:rFonts w:cs="Arial"/>
          <w:lang w:val="sl-SI"/>
        </w:rPr>
        <w:t xml:space="preserve">delovnega </w:t>
      </w:r>
      <w:r w:rsidRPr="003A52A5">
        <w:rPr>
          <w:rFonts w:cs="Arial"/>
          <w:lang w:val="sl-SI"/>
        </w:rPr>
        <w:t xml:space="preserve">dne v mesecu po poteku meseca, v katerem je nastala obveznost za obračun </w:t>
      </w:r>
      <w:proofErr w:type="spellStart"/>
      <w:r w:rsidRPr="003A52A5">
        <w:rPr>
          <w:rFonts w:cs="Arial"/>
          <w:lang w:val="sl-SI"/>
        </w:rPr>
        <w:t>okoljske</w:t>
      </w:r>
      <w:proofErr w:type="spellEnd"/>
      <w:r w:rsidRPr="003A52A5">
        <w:rPr>
          <w:rFonts w:cs="Arial"/>
          <w:lang w:val="sl-SI"/>
        </w:rPr>
        <w:t xml:space="preserve"> dajatve.</w:t>
      </w:r>
    </w:p>
    <w:p w14:paraId="18BE954E" w14:textId="5FE8A001" w:rsidR="00BD1B70" w:rsidRDefault="00BD1B70" w:rsidP="00EF735A">
      <w:pPr>
        <w:pStyle w:val="Odstavek"/>
        <w:spacing w:before="0"/>
        <w:rPr>
          <w:rFonts w:cs="Arial"/>
          <w:lang w:val="sl-SI"/>
        </w:rPr>
      </w:pPr>
    </w:p>
    <w:p w14:paraId="7A4F29CA" w14:textId="5C30CD17" w:rsidR="00BD1B70" w:rsidRDefault="00BD1B70" w:rsidP="00EF735A">
      <w:pPr>
        <w:pStyle w:val="Odstavek"/>
        <w:spacing w:before="0"/>
        <w:rPr>
          <w:rFonts w:cs="Arial"/>
          <w:lang w:val="sl-SI"/>
        </w:rPr>
      </w:pPr>
      <w:r>
        <w:rPr>
          <w:rFonts w:cs="Arial"/>
          <w:lang w:val="sl-SI"/>
        </w:rPr>
        <w:t>(</w:t>
      </w:r>
      <w:r w:rsidR="007A3810">
        <w:rPr>
          <w:rFonts w:cs="Arial"/>
          <w:lang w:val="sl-SI"/>
        </w:rPr>
        <w:t>8</w:t>
      </w:r>
      <w:r>
        <w:rPr>
          <w:rFonts w:cs="Arial"/>
          <w:lang w:val="sl-SI"/>
        </w:rPr>
        <w:t xml:space="preserve">) </w:t>
      </w:r>
      <w:r w:rsidRPr="00BD1B70">
        <w:rPr>
          <w:rFonts w:cs="Arial"/>
          <w:lang w:val="sl-SI"/>
        </w:rPr>
        <w:t>Plačnik predloži obračun za vsako lokacijo odlagališča posebej.</w:t>
      </w:r>
    </w:p>
    <w:p w14:paraId="4A91A4E0" w14:textId="77777777" w:rsidR="00EF735A" w:rsidRPr="003A52A5" w:rsidRDefault="00EF735A" w:rsidP="00EF735A">
      <w:pPr>
        <w:pStyle w:val="Odstavek"/>
        <w:spacing w:before="0"/>
        <w:rPr>
          <w:rFonts w:cs="Arial"/>
          <w:lang w:val="sl-SI"/>
        </w:rPr>
      </w:pPr>
    </w:p>
    <w:p w14:paraId="46BA1D3D" w14:textId="0176A8F3" w:rsidR="006C3E3E" w:rsidRDefault="004F4148" w:rsidP="00EF735A">
      <w:pPr>
        <w:pStyle w:val="Poglavje"/>
        <w:spacing w:before="0"/>
        <w:rPr>
          <w:b/>
          <w:bCs/>
        </w:rPr>
      </w:pPr>
      <w:r w:rsidRPr="003A52A5">
        <w:rPr>
          <w:b/>
          <w:bCs/>
        </w:rPr>
        <w:t>6</w:t>
      </w:r>
      <w:r w:rsidR="006C3E3E" w:rsidRPr="003A52A5">
        <w:rPr>
          <w:b/>
          <w:bCs/>
        </w:rPr>
        <w:t>. člen</w:t>
      </w:r>
    </w:p>
    <w:p w14:paraId="35A3646E" w14:textId="4B40950F" w:rsidR="0049717C" w:rsidRDefault="0049717C" w:rsidP="0049717C">
      <w:pPr>
        <w:pStyle w:val="Poglavje"/>
        <w:spacing w:before="0"/>
        <w:rPr>
          <w:b/>
          <w:bCs/>
        </w:rPr>
      </w:pPr>
      <w:r w:rsidRPr="0049717C">
        <w:rPr>
          <w:b/>
          <w:bCs/>
        </w:rPr>
        <w:t xml:space="preserve">(pobiranje </w:t>
      </w:r>
      <w:proofErr w:type="spellStart"/>
      <w:r w:rsidRPr="0049717C">
        <w:rPr>
          <w:b/>
          <w:bCs/>
        </w:rPr>
        <w:t>okoljske</w:t>
      </w:r>
      <w:proofErr w:type="spellEnd"/>
      <w:r w:rsidRPr="0049717C">
        <w:rPr>
          <w:b/>
          <w:bCs/>
        </w:rPr>
        <w:t xml:space="preserve"> dajatve)</w:t>
      </w:r>
    </w:p>
    <w:p w14:paraId="619C96CD" w14:textId="77777777" w:rsidR="008B3362" w:rsidRDefault="008B3362" w:rsidP="0049717C">
      <w:pPr>
        <w:pStyle w:val="Odstavek"/>
        <w:spacing w:before="0"/>
      </w:pPr>
    </w:p>
    <w:p w14:paraId="287AFB90" w14:textId="3E1C6006" w:rsidR="0049717C" w:rsidRDefault="0049717C" w:rsidP="0049717C">
      <w:pPr>
        <w:pStyle w:val="Odstavek"/>
        <w:spacing w:before="0"/>
      </w:pPr>
      <w:r w:rsidRPr="0049717C">
        <w:lastRenderedPageBreak/>
        <w:t>(1)</w:t>
      </w:r>
      <w:r w:rsidRPr="0049717C">
        <w:tab/>
        <w:t xml:space="preserve"> </w:t>
      </w:r>
      <w:proofErr w:type="spellStart"/>
      <w:r w:rsidRPr="0049717C">
        <w:t>Okoljsko</w:t>
      </w:r>
      <w:proofErr w:type="spellEnd"/>
      <w:r w:rsidRPr="0049717C">
        <w:t xml:space="preserve"> dajatev pobira finančna uprava v skladu s pooblastili zakona, ki ureja finančno upravo.</w:t>
      </w:r>
    </w:p>
    <w:p w14:paraId="32FA79A4" w14:textId="77777777" w:rsidR="0049717C" w:rsidRPr="0049717C" w:rsidRDefault="0049717C" w:rsidP="0049717C">
      <w:pPr>
        <w:pStyle w:val="Odstavek"/>
        <w:spacing w:before="0"/>
      </w:pPr>
    </w:p>
    <w:p w14:paraId="403C320B" w14:textId="11118255" w:rsidR="0049717C" w:rsidRPr="0049717C" w:rsidRDefault="0049717C" w:rsidP="0049717C">
      <w:pPr>
        <w:pStyle w:val="Odstavek"/>
        <w:spacing w:before="0"/>
      </w:pPr>
      <w:r w:rsidRPr="0049717C">
        <w:t>(2)</w:t>
      </w:r>
      <w:r w:rsidRPr="0049717C">
        <w:tab/>
        <w:t xml:space="preserve"> Za plačevanje, obračunavanje obresti, doplačila in vračila plačane </w:t>
      </w:r>
      <w:proofErr w:type="spellStart"/>
      <w:r w:rsidRPr="0049717C">
        <w:t>okoljske</w:t>
      </w:r>
      <w:proofErr w:type="spellEnd"/>
      <w:r w:rsidRPr="0049717C">
        <w:t xml:space="preserve"> dajatve, postopek prisilne izterjave, presojo zastaranja in druga vprašanja v zvezi s pobiranjem </w:t>
      </w:r>
      <w:proofErr w:type="spellStart"/>
      <w:r w:rsidRPr="0049717C">
        <w:t>okoljske</w:t>
      </w:r>
      <w:proofErr w:type="spellEnd"/>
      <w:r w:rsidRPr="0049717C">
        <w:t xml:space="preserve"> dajatve, ki niso urejena s to uredbo, se uporabljajo pravila zakona, ki ureja davčni postopek.</w:t>
      </w:r>
    </w:p>
    <w:p w14:paraId="5D86EDD6" w14:textId="3EF1392A" w:rsidR="0049717C" w:rsidRDefault="0049717C" w:rsidP="00EF735A">
      <w:pPr>
        <w:pStyle w:val="Poglavje"/>
        <w:spacing w:before="0"/>
        <w:rPr>
          <w:b/>
          <w:bCs/>
        </w:rPr>
      </w:pPr>
    </w:p>
    <w:p w14:paraId="472AE1BD" w14:textId="4493DBB2" w:rsidR="0049717C" w:rsidRPr="003A52A5" w:rsidRDefault="0049717C" w:rsidP="00EF735A">
      <w:pPr>
        <w:pStyle w:val="Poglavje"/>
        <w:spacing w:before="0"/>
        <w:rPr>
          <w:b/>
          <w:bCs/>
        </w:rPr>
      </w:pPr>
      <w:r>
        <w:rPr>
          <w:b/>
          <w:bCs/>
        </w:rPr>
        <w:t>7. člen</w:t>
      </w:r>
    </w:p>
    <w:p w14:paraId="6D0089C5" w14:textId="5F0B17C5" w:rsidR="004F4148" w:rsidRDefault="004F4148" w:rsidP="00EF735A">
      <w:pPr>
        <w:pStyle w:val="len"/>
        <w:spacing w:before="0"/>
        <w:rPr>
          <w:rFonts w:cs="Arial"/>
          <w:lang w:val="sl-SI"/>
        </w:rPr>
      </w:pPr>
      <w:r w:rsidRPr="003A52A5">
        <w:rPr>
          <w:rFonts w:cs="Arial"/>
          <w:lang w:val="sl-SI"/>
        </w:rPr>
        <w:t>(prijava dejavnosti)</w:t>
      </w:r>
    </w:p>
    <w:p w14:paraId="479BBFA6" w14:textId="77777777" w:rsidR="00EF735A" w:rsidRPr="003A52A5" w:rsidRDefault="00EF735A" w:rsidP="00EF735A">
      <w:pPr>
        <w:pStyle w:val="len"/>
        <w:spacing w:before="0"/>
        <w:rPr>
          <w:rFonts w:cs="Arial"/>
          <w:lang w:val="sl-SI"/>
        </w:rPr>
      </w:pPr>
    </w:p>
    <w:p w14:paraId="48B237E3" w14:textId="1B075125" w:rsidR="006C3E3E" w:rsidRDefault="006C3E3E" w:rsidP="00EF735A">
      <w:pPr>
        <w:pStyle w:val="Odstavek"/>
        <w:spacing w:before="0"/>
        <w:rPr>
          <w:rFonts w:cs="Arial"/>
          <w:lang w:val="sl-SI"/>
        </w:rPr>
      </w:pPr>
      <w:r w:rsidRPr="003A52A5">
        <w:rPr>
          <w:rFonts w:cs="Arial"/>
          <w:lang w:val="sl-SI"/>
        </w:rPr>
        <w:t>(1) </w:t>
      </w:r>
      <w:r w:rsidR="00431B0B" w:rsidRPr="003A52A5">
        <w:rPr>
          <w:rFonts w:cs="Arial"/>
          <w:lang w:val="sl-SI"/>
        </w:rPr>
        <w:t>P</w:t>
      </w:r>
      <w:r w:rsidRPr="003A52A5">
        <w:rPr>
          <w:rFonts w:cs="Arial"/>
          <w:lang w:val="sl-SI"/>
        </w:rPr>
        <w:t xml:space="preserve">lačnik </w:t>
      </w:r>
      <w:proofErr w:type="spellStart"/>
      <w:r w:rsidRPr="003A52A5">
        <w:rPr>
          <w:rFonts w:cs="Arial"/>
          <w:lang w:val="sl-SI"/>
        </w:rPr>
        <w:t>okoljske</w:t>
      </w:r>
      <w:proofErr w:type="spellEnd"/>
      <w:r w:rsidRPr="003A52A5">
        <w:rPr>
          <w:rFonts w:cs="Arial"/>
          <w:lang w:val="sl-SI"/>
        </w:rPr>
        <w:t xml:space="preserve"> dajatve mora </w:t>
      </w:r>
      <w:r w:rsidR="000D675F" w:rsidRPr="003A52A5">
        <w:rPr>
          <w:rFonts w:cs="Arial"/>
          <w:lang w:val="sl-SI"/>
        </w:rPr>
        <w:t>finančni upravi</w:t>
      </w:r>
      <w:r w:rsidRPr="003A52A5">
        <w:rPr>
          <w:rFonts w:cs="Arial"/>
          <w:lang w:val="sl-SI"/>
        </w:rPr>
        <w:t xml:space="preserve"> na obrazcu</w:t>
      </w:r>
      <w:r w:rsidR="000D675F" w:rsidRPr="003A52A5">
        <w:rPr>
          <w:rFonts w:cs="Arial"/>
          <w:lang w:val="sl-SI"/>
        </w:rPr>
        <w:t>, ki je objavljen na spletni strani finančne uprave</w:t>
      </w:r>
      <w:r w:rsidRPr="003A52A5">
        <w:rPr>
          <w:rFonts w:cs="Arial"/>
          <w:lang w:val="sl-SI"/>
        </w:rPr>
        <w:t xml:space="preserve">, prijaviti, kdaj se dejavnost, zaradi katere </w:t>
      </w:r>
      <w:r w:rsidR="00431B0B" w:rsidRPr="003A52A5">
        <w:rPr>
          <w:rFonts w:cs="Arial"/>
          <w:lang w:val="sl-SI"/>
        </w:rPr>
        <w:t xml:space="preserve">je </w:t>
      </w:r>
      <w:r w:rsidRPr="003A52A5">
        <w:rPr>
          <w:rFonts w:cs="Arial"/>
          <w:lang w:val="sl-SI"/>
        </w:rPr>
        <w:t xml:space="preserve">zavezan obračunavati in plačevati </w:t>
      </w:r>
      <w:proofErr w:type="spellStart"/>
      <w:r w:rsidRPr="003A52A5">
        <w:rPr>
          <w:rFonts w:cs="Arial"/>
          <w:lang w:val="sl-SI"/>
        </w:rPr>
        <w:t>okoljsko</w:t>
      </w:r>
      <w:proofErr w:type="spellEnd"/>
      <w:r w:rsidRPr="003A52A5">
        <w:rPr>
          <w:rFonts w:cs="Arial"/>
          <w:lang w:val="sl-SI"/>
        </w:rPr>
        <w:t xml:space="preserve"> dajatev, začne, spremeni, prekine ali preneha.</w:t>
      </w:r>
    </w:p>
    <w:p w14:paraId="4CAE104B" w14:textId="0CFAC627" w:rsidR="00172419" w:rsidRPr="00172419" w:rsidRDefault="00172419" w:rsidP="00172419">
      <w:pPr>
        <w:pStyle w:val="Odstavek"/>
        <w:rPr>
          <w:rFonts w:cs="Arial"/>
          <w:lang w:val="sl-SI"/>
        </w:rPr>
      </w:pPr>
      <w:r>
        <w:rPr>
          <w:rFonts w:cs="Arial"/>
          <w:lang w:val="sl-SI"/>
        </w:rPr>
        <w:t xml:space="preserve">(2) </w:t>
      </w:r>
      <w:r w:rsidRPr="00172419">
        <w:rPr>
          <w:rFonts w:cs="Arial"/>
          <w:lang w:val="sl-SI"/>
        </w:rPr>
        <w:t>Oseba iz pr</w:t>
      </w:r>
      <w:r w:rsidR="008B3362">
        <w:rPr>
          <w:rFonts w:cs="Arial"/>
          <w:lang w:val="sl-SI"/>
        </w:rPr>
        <w:t>ejšnjega</w:t>
      </w:r>
      <w:r w:rsidRPr="00172419">
        <w:rPr>
          <w:rFonts w:cs="Arial"/>
          <w:lang w:val="sl-SI"/>
        </w:rPr>
        <w:t xml:space="preserve"> odstavka vloži prijavo </w:t>
      </w:r>
      <w:r w:rsidR="008B3362">
        <w:rPr>
          <w:rFonts w:cs="Arial"/>
          <w:lang w:val="sl-SI"/>
        </w:rPr>
        <w:t xml:space="preserve">pisno </w:t>
      </w:r>
      <w:r w:rsidRPr="00172419">
        <w:rPr>
          <w:rFonts w:cs="Arial"/>
          <w:lang w:val="sl-SI"/>
        </w:rPr>
        <w:t>v dveh izvodih</w:t>
      </w:r>
      <w:r w:rsidR="008B3362">
        <w:rPr>
          <w:rFonts w:cs="Arial"/>
          <w:lang w:val="sl-SI"/>
        </w:rPr>
        <w:t xml:space="preserve"> ali preko informacijskega sistema finančne uprave</w:t>
      </w:r>
      <w:r w:rsidRPr="00172419">
        <w:rPr>
          <w:rFonts w:cs="Arial"/>
          <w:lang w:val="sl-SI"/>
        </w:rPr>
        <w:t>. V prijavi morajo biti navedeni naslednji podatki:</w:t>
      </w:r>
    </w:p>
    <w:p w14:paraId="42E6F7F8" w14:textId="421E6F06" w:rsidR="00172419" w:rsidRDefault="00172419" w:rsidP="007A3810">
      <w:pPr>
        <w:pStyle w:val="Odstavek"/>
        <w:spacing w:before="0"/>
        <w:rPr>
          <w:rFonts w:cs="Arial"/>
          <w:lang w:val="sl-SI"/>
        </w:rPr>
      </w:pPr>
      <w:r w:rsidRPr="00172419">
        <w:rPr>
          <w:rFonts w:cs="Arial"/>
          <w:lang w:val="sl-SI"/>
        </w:rPr>
        <w:t>1.     firma, naslov, davčna in matična številka,</w:t>
      </w:r>
      <w:r w:rsidR="009205F3" w:rsidRPr="009205F3">
        <w:t xml:space="preserve"> </w:t>
      </w:r>
      <w:r w:rsidR="009205F3" w:rsidRPr="009205F3">
        <w:rPr>
          <w:rFonts w:cs="Arial"/>
          <w:lang w:val="sl-SI"/>
        </w:rPr>
        <w:t>kontaktna oseba, elektronski naslov in telefonsk</w:t>
      </w:r>
      <w:r w:rsidR="000E0C5D">
        <w:rPr>
          <w:rFonts w:cs="Arial"/>
          <w:lang w:val="sl-SI"/>
        </w:rPr>
        <w:t>a</w:t>
      </w:r>
      <w:r w:rsidR="009205F3" w:rsidRPr="009205F3">
        <w:rPr>
          <w:rFonts w:cs="Arial"/>
          <w:lang w:val="sl-SI"/>
        </w:rPr>
        <w:t xml:space="preserve"> številk</w:t>
      </w:r>
      <w:r w:rsidR="000E0C5D">
        <w:rPr>
          <w:rFonts w:cs="Arial"/>
          <w:lang w:val="sl-SI"/>
        </w:rPr>
        <w:t>a,</w:t>
      </w:r>
    </w:p>
    <w:p w14:paraId="68012C87" w14:textId="77777777" w:rsidR="005B418A" w:rsidRDefault="00172419" w:rsidP="00070767">
      <w:pPr>
        <w:pStyle w:val="Odstavek"/>
        <w:spacing w:before="0"/>
        <w:rPr>
          <w:rFonts w:cs="Arial"/>
          <w:lang w:val="sl-SI"/>
        </w:rPr>
      </w:pPr>
      <w:r w:rsidRPr="00172419">
        <w:rPr>
          <w:rFonts w:cs="Arial"/>
          <w:lang w:val="sl-SI"/>
        </w:rPr>
        <w:t>2.  vrsta prijave (priglasitev začetka</w:t>
      </w:r>
      <w:r w:rsidR="00706811">
        <w:rPr>
          <w:rFonts w:cs="Arial"/>
          <w:lang w:val="sl-SI"/>
        </w:rPr>
        <w:t>, spremembe, prekinitve ali prenehanja</w:t>
      </w:r>
      <w:r w:rsidRPr="00172419">
        <w:rPr>
          <w:rFonts w:cs="Arial"/>
          <w:lang w:val="sl-SI"/>
        </w:rPr>
        <w:t xml:space="preserve"> dejavnosti</w:t>
      </w:r>
      <w:r w:rsidR="005B418A">
        <w:rPr>
          <w:rFonts w:cs="Arial"/>
          <w:lang w:val="sl-SI"/>
        </w:rPr>
        <w:t>).</w:t>
      </w:r>
    </w:p>
    <w:p w14:paraId="58329BF4" w14:textId="77777777" w:rsidR="00EF735A" w:rsidRPr="003A52A5" w:rsidRDefault="00EF735A" w:rsidP="00EF735A">
      <w:pPr>
        <w:pStyle w:val="Odstavek"/>
        <w:spacing w:before="0"/>
        <w:rPr>
          <w:rFonts w:cs="Arial"/>
          <w:lang w:val="sl-SI"/>
        </w:rPr>
      </w:pPr>
    </w:p>
    <w:p w14:paraId="7816D9E6" w14:textId="11CC3FF4" w:rsidR="006C3E3E" w:rsidRPr="003A52A5" w:rsidRDefault="006C3E3E" w:rsidP="00EF735A">
      <w:pPr>
        <w:pStyle w:val="Odstavek"/>
        <w:spacing w:before="0"/>
        <w:rPr>
          <w:rFonts w:cs="Arial"/>
          <w:lang w:val="sl-SI"/>
        </w:rPr>
      </w:pPr>
      <w:r w:rsidRPr="003A52A5">
        <w:rPr>
          <w:rFonts w:cs="Arial"/>
          <w:lang w:val="sl-SI"/>
        </w:rPr>
        <w:t>(</w:t>
      </w:r>
      <w:r w:rsidR="00172419">
        <w:rPr>
          <w:rFonts w:cs="Arial"/>
          <w:lang w:val="sl-SI"/>
        </w:rPr>
        <w:t>3</w:t>
      </w:r>
      <w:r w:rsidRPr="003A52A5">
        <w:rPr>
          <w:rFonts w:cs="Arial"/>
          <w:lang w:val="sl-SI"/>
        </w:rPr>
        <w:t>) Oseb</w:t>
      </w:r>
      <w:r w:rsidR="00431B0B" w:rsidRPr="003A52A5">
        <w:rPr>
          <w:rFonts w:cs="Arial"/>
          <w:lang w:val="sl-SI"/>
        </w:rPr>
        <w:t>a</w:t>
      </w:r>
      <w:r w:rsidRPr="003A52A5">
        <w:rPr>
          <w:rFonts w:cs="Arial"/>
          <w:lang w:val="sl-SI"/>
        </w:rPr>
        <w:t xml:space="preserve"> iz </w:t>
      </w:r>
      <w:r w:rsidR="00172419">
        <w:rPr>
          <w:rFonts w:cs="Arial"/>
          <w:lang w:val="sl-SI"/>
        </w:rPr>
        <w:t>prvega</w:t>
      </w:r>
      <w:r w:rsidR="00172419" w:rsidRPr="003A52A5">
        <w:rPr>
          <w:rFonts w:cs="Arial"/>
          <w:lang w:val="sl-SI"/>
        </w:rPr>
        <w:t xml:space="preserve"> </w:t>
      </w:r>
      <w:r w:rsidRPr="003A52A5">
        <w:rPr>
          <w:rFonts w:cs="Arial"/>
          <w:lang w:val="sl-SI"/>
        </w:rPr>
        <w:t>odstavka</w:t>
      </w:r>
      <w:r w:rsidR="008B3362">
        <w:rPr>
          <w:rFonts w:cs="Arial"/>
          <w:lang w:val="sl-SI"/>
        </w:rPr>
        <w:t xml:space="preserve"> tega člena</w:t>
      </w:r>
      <w:r w:rsidRPr="003A52A5">
        <w:rPr>
          <w:rFonts w:cs="Arial"/>
          <w:lang w:val="sl-SI"/>
        </w:rPr>
        <w:t xml:space="preserve"> </w:t>
      </w:r>
      <w:r w:rsidR="000D675F" w:rsidRPr="003A52A5">
        <w:rPr>
          <w:rFonts w:cs="Arial"/>
          <w:lang w:val="sl-SI"/>
        </w:rPr>
        <w:t>finančni upravi</w:t>
      </w:r>
      <w:r w:rsidRPr="003A52A5">
        <w:rPr>
          <w:rFonts w:cs="Arial"/>
          <w:lang w:val="sl-SI"/>
        </w:rPr>
        <w:t xml:space="preserve"> prijavi začetek, spremembo, prekinitev in prenehanje dejavnosti najmanj 15 dni pred začetkom, predvideno spremembo, prekinitvijo ali prenehanjem opravljanja dejavnosti, zaradi katere </w:t>
      </w:r>
      <w:r w:rsidR="00431B0B" w:rsidRPr="003A52A5">
        <w:rPr>
          <w:rFonts w:cs="Arial"/>
          <w:lang w:val="sl-SI"/>
        </w:rPr>
        <w:t>je</w:t>
      </w:r>
      <w:r w:rsidRPr="003A52A5">
        <w:rPr>
          <w:rFonts w:cs="Arial"/>
          <w:lang w:val="sl-SI"/>
        </w:rPr>
        <w:t xml:space="preserve"> zavezan obračunavati in plačevati </w:t>
      </w:r>
      <w:proofErr w:type="spellStart"/>
      <w:r w:rsidRPr="003A52A5">
        <w:rPr>
          <w:rFonts w:cs="Arial"/>
          <w:lang w:val="sl-SI"/>
        </w:rPr>
        <w:t>okoljsko</w:t>
      </w:r>
      <w:proofErr w:type="spellEnd"/>
      <w:r w:rsidRPr="003A52A5">
        <w:rPr>
          <w:rFonts w:cs="Arial"/>
          <w:lang w:val="sl-SI"/>
        </w:rPr>
        <w:t xml:space="preserve"> dajatev. </w:t>
      </w:r>
      <w:r w:rsidR="000D675F" w:rsidRPr="003A52A5">
        <w:rPr>
          <w:rFonts w:cs="Arial"/>
          <w:lang w:val="sl-SI"/>
        </w:rPr>
        <w:t>Finančna uprava</w:t>
      </w:r>
      <w:r w:rsidRPr="003A52A5">
        <w:rPr>
          <w:rFonts w:cs="Arial"/>
          <w:lang w:val="sl-SI"/>
        </w:rPr>
        <w:t xml:space="preserve"> o tem v 30 dneh obvesti </w:t>
      </w:r>
      <w:r w:rsidR="000D675F" w:rsidRPr="003A52A5">
        <w:rPr>
          <w:rFonts w:cs="Arial"/>
          <w:lang w:val="sl-SI"/>
        </w:rPr>
        <w:t>Ministrstvo za okolje in prostor</w:t>
      </w:r>
      <w:r w:rsidRPr="003A52A5">
        <w:rPr>
          <w:rFonts w:cs="Arial"/>
          <w:lang w:val="sl-SI"/>
        </w:rPr>
        <w:t xml:space="preserve"> (v nadaljnjem besedilu: </w:t>
      </w:r>
      <w:r w:rsidR="000D675F" w:rsidRPr="003A52A5">
        <w:rPr>
          <w:rFonts w:cs="Arial"/>
          <w:lang w:val="sl-SI"/>
        </w:rPr>
        <w:t>ministrstvo</w:t>
      </w:r>
      <w:r w:rsidRPr="003A52A5">
        <w:rPr>
          <w:rFonts w:cs="Arial"/>
          <w:lang w:val="sl-SI"/>
        </w:rPr>
        <w:t>).</w:t>
      </w:r>
    </w:p>
    <w:p w14:paraId="378FB96B" w14:textId="77777777" w:rsidR="00EF735A" w:rsidRDefault="00EF735A" w:rsidP="00EF735A">
      <w:pPr>
        <w:pStyle w:val="Odstavek"/>
        <w:spacing w:before="0"/>
        <w:rPr>
          <w:rFonts w:cs="Arial"/>
          <w:lang w:val="sl-SI"/>
        </w:rPr>
      </w:pPr>
    </w:p>
    <w:p w14:paraId="1FB255FA" w14:textId="6F55200C" w:rsidR="006C3E3E" w:rsidRDefault="006C3E3E" w:rsidP="00EF735A">
      <w:pPr>
        <w:pStyle w:val="Odstavek"/>
        <w:spacing w:before="0"/>
        <w:rPr>
          <w:rFonts w:cs="Arial"/>
          <w:lang w:val="sl-SI"/>
        </w:rPr>
      </w:pPr>
      <w:r w:rsidRPr="003A52A5">
        <w:rPr>
          <w:rFonts w:cs="Arial"/>
          <w:lang w:val="sl-SI"/>
        </w:rPr>
        <w:t>(</w:t>
      </w:r>
      <w:r w:rsidR="00172419">
        <w:rPr>
          <w:rFonts w:cs="Arial"/>
          <w:lang w:val="sl-SI"/>
        </w:rPr>
        <w:t>4</w:t>
      </w:r>
      <w:r w:rsidRPr="003A52A5">
        <w:rPr>
          <w:rFonts w:cs="Arial"/>
          <w:lang w:val="sl-SI"/>
        </w:rPr>
        <w:t>) Ne glede na prejšnji odstavek mora oseb</w:t>
      </w:r>
      <w:r w:rsidR="00431B0B" w:rsidRPr="003A52A5">
        <w:rPr>
          <w:rFonts w:cs="Arial"/>
          <w:lang w:val="sl-SI"/>
        </w:rPr>
        <w:t>a</w:t>
      </w:r>
      <w:r w:rsidRPr="003A52A5">
        <w:rPr>
          <w:rFonts w:cs="Arial"/>
          <w:lang w:val="sl-SI"/>
        </w:rPr>
        <w:t xml:space="preserve"> iz prvega odstavka tega člena prijaviti prenehanje opravljanja dejavnosti iz nepredvidenih razlogov na obrazcu iz prvega odstavka tega člena v treh delovnih dneh po nastopu razlogov za prenehanje opravljanja dejavnosti, zaradi katere </w:t>
      </w:r>
      <w:r w:rsidR="00431B0B" w:rsidRPr="003A52A5">
        <w:rPr>
          <w:rFonts w:cs="Arial"/>
          <w:lang w:val="sl-SI"/>
        </w:rPr>
        <w:t xml:space="preserve">je </w:t>
      </w:r>
      <w:r w:rsidRPr="003A52A5">
        <w:rPr>
          <w:rFonts w:cs="Arial"/>
          <w:lang w:val="sl-SI"/>
        </w:rPr>
        <w:t xml:space="preserve">zavezan obračunavati in plačevati </w:t>
      </w:r>
      <w:proofErr w:type="spellStart"/>
      <w:r w:rsidRPr="003A52A5">
        <w:rPr>
          <w:rFonts w:cs="Arial"/>
          <w:lang w:val="sl-SI"/>
        </w:rPr>
        <w:t>okoljsko</w:t>
      </w:r>
      <w:proofErr w:type="spellEnd"/>
      <w:r w:rsidRPr="003A52A5">
        <w:rPr>
          <w:rFonts w:cs="Arial"/>
          <w:lang w:val="sl-SI"/>
        </w:rPr>
        <w:t xml:space="preserve"> dajatev. </w:t>
      </w:r>
      <w:r w:rsidR="003A2004">
        <w:rPr>
          <w:rFonts w:cs="Arial"/>
          <w:lang w:val="sl-SI"/>
        </w:rPr>
        <w:t>Finančna uprava</w:t>
      </w:r>
      <w:r w:rsidRPr="003A52A5">
        <w:rPr>
          <w:rFonts w:cs="Arial"/>
          <w:lang w:val="sl-SI"/>
        </w:rPr>
        <w:t xml:space="preserve"> o tem v 30 dneh obvesti </w:t>
      </w:r>
      <w:r w:rsidR="000D675F" w:rsidRPr="003A52A5">
        <w:rPr>
          <w:rFonts w:cs="Arial"/>
          <w:lang w:val="sl-SI"/>
        </w:rPr>
        <w:t>ministrstv</w:t>
      </w:r>
      <w:r w:rsidRPr="003A52A5">
        <w:rPr>
          <w:rFonts w:cs="Arial"/>
          <w:lang w:val="sl-SI"/>
        </w:rPr>
        <w:t>o.</w:t>
      </w:r>
    </w:p>
    <w:p w14:paraId="3737FA3F" w14:textId="77777777" w:rsidR="0049717C" w:rsidRDefault="0049717C" w:rsidP="0049717C">
      <w:pPr>
        <w:pStyle w:val="Pripombabesedilo"/>
      </w:pPr>
    </w:p>
    <w:p w14:paraId="4AC58FD2" w14:textId="2B75F7EB" w:rsidR="0049717C" w:rsidRDefault="0049717C" w:rsidP="008B3362">
      <w:pPr>
        <w:pStyle w:val="Odstavek"/>
        <w:spacing w:before="0"/>
      </w:pPr>
      <w:r w:rsidRPr="00B61950">
        <w:t>(</w:t>
      </w:r>
      <w:r w:rsidR="008B3362">
        <w:rPr>
          <w:lang w:val="sl-SI"/>
        </w:rPr>
        <w:t>5</w:t>
      </w:r>
      <w:r w:rsidRPr="00B61950">
        <w:t xml:space="preserve">) Če oseba iz prvega odstavka tega člena preneha obstajati ali preneha opravljati dejavnost, jo finančna uprava izbriše iz evidence na njeno zahtevo ali po uradni dolžnosti, pri tem pa hkrati odloči tudi o zapadlih obveznostih plačila </w:t>
      </w:r>
      <w:proofErr w:type="spellStart"/>
      <w:r w:rsidRPr="00B61950">
        <w:t>okoljske</w:t>
      </w:r>
      <w:proofErr w:type="spellEnd"/>
      <w:r w:rsidRPr="00B61950">
        <w:t xml:space="preserve"> dajatve.</w:t>
      </w:r>
      <w:r>
        <w:t xml:space="preserve"> </w:t>
      </w:r>
    </w:p>
    <w:p w14:paraId="4F72396F" w14:textId="0EEF9054" w:rsidR="00EF735A" w:rsidRDefault="00EF735A" w:rsidP="00EF735A">
      <w:pPr>
        <w:pStyle w:val="Poglavje"/>
        <w:spacing w:before="0"/>
      </w:pPr>
    </w:p>
    <w:p w14:paraId="17809E6A" w14:textId="77777777" w:rsidR="00EF735A" w:rsidRDefault="00EF735A" w:rsidP="00EF735A">
      <w:pPr>
        <w:pStyle w:val="Poglavje"/>
        <w:spacing w:before="0"/>
      </w:pPr>
    </w:p>
    <w:p w14:paraId="6616AB7C" w14:textId="506F0DD3" w:rsidR="006C3E3E" w:rsidRDefault="00086879" w:rsidP="00EF735A">
      <w:pPr>
        <w:pStyle w:val="Poglavje"/>
        <w:spacing w:before="0"/>
      </w:pPr>
      <w:r w:rsidRPr="003A52A5">
        <w:t>II</w:t>
      </w:r>
      <w:r w:rsidR="006C3E3E" w:rsidRPr="003A52A5">
        <w:t>. NADZOR</w:t>
      </w:r>
    </w:p>
    <w:p w14:paraId="28FCF6E2" w14:textId="77777777" w:rsidR="00EF735A" w:rsidRPr="003A52A5" w:rsidRDefault="00EF735A" w:rsidP="00EF735A">
      <w:pPr>
        <w:pStyle w:val="Poglavje"/>
        <w:spacing w:before="0"/>
      </w:pPr>
    </w:p>
    <w:p w14:paraId="0EBDA81D" w14:textId="7B3D7796" w:rsidR="006C3E3E" w:rsidRDefault="000E0C5D" w:rsidP="00EF735A">
      <w:pPr>
        <w:pStyle w:val="len"/>
        <w:spacing w:before="0"/>
        <w:rPr>
          <w:rFonts w:cs="Arial"/>
          <w:lang w:val="sl-SI"/>
        </w:rPr>
      </w:pPr>
      <w:r>
        <w:rPr>
          <w:rFonts w:cs="Arial"/>
          <w:lang w:val="sl-SI"/>
        </w:rPr>
        <w:t>8</w:t>
      </w:r>
      <w:r w:rsidR="006C3E3E" w:rsidRPr="003A52A5">
        <w:rPr>
          <w:rFonts w:cs="Arial"/>
          <w:lang w:val="sl-SI"/>
        </w:rPr>
        <w:t>. člen</w:t>
      </w:r>
    </w:p>
    <w:p w14:paraId="339C69DA" w14:textId="6C1232BC" w:rsidR="00EF735A" w:rsidRDefault="00EF735A" w:rsidP="00EF735A">
      <w:pPr>
        <w:pStyle w:val="len"/>
        <w:spacing w:before="0"/>
        <w:rPr>
          <w:rFonts w:cs="Arial"/>
          <w:lang w:val="sl-SI"/>
        </w:rPr>
      </w:pPr>
      <w:r>
        <w:rPr>
          <w:rFonts w:cs="Arial"/>
          <w:lang w:val="sl-SI"/>
        </w:rPr>
        <w:t>(nadzor)</w:t>
      </w:r>
    </w:p>
    <w:p w14:paraId="11314738" w14:textId="77777777" w:rsidR="00EF735A" w:rsidRPr="003A52A5" w:rsidRDefault="00EF735A" w:rsidP="00EF735A">
      <w:pPr>
        <w:pStyle w:val="len"/>
        <w:spacing w:before="0"/>
        <w:rPr>
          <w:rFonts w:cs="Arial"/>
          <w:lang w:val="sl-SI"/>
        </w:rPr>
      </w:pPr>
    </w:p>
    <w:p w14:paraId="1CE721E0" w14:textId="2D3B38A7" w:rsidR="006C3E3E" w:rsidRDefault="006C3E3E" w:rsidP="00EF735A">
      <w:pPr>
        <w:pStyle w:val="Odstavek"/>
        <w:spacing w:before="0"/>
        <w:rPr>
          <w:rFonts w:cs="Arial"/>
          <w:lang w:val="sl-SI"/>
        </w:rPr>
      </w:pPr>
      <w:r w:rsidRPr="003A52A5">
        <w:rPr>
          <w:rFonts w:cs="Arial"/>
          <w:lang w:val="sl-SI"/>
        </w:rPr>
        <w:t>Nadzor nad izvajanjem te uredbe opravlja</w:t>
      </w:r>
      <w:r w:rsidR="00086879" w:rsidRPr="003A52A5">
        <w:rPr>
          <w:rFonts w:cs="Arial"/>
          <w:lang w:val="sl-SI"/>
        </w:rPr>
        <w:t xml:space="preserve"> finančna uprava</w:t>
      </w:r>
      <w:r w:rsidRPr="003A52A5">
        <w:rPr>
          <w:rFonts w:cs="Arial"/>
          <w:lang w:val="sl-SI"/>
        </w:rPr>
        <w:t>.</w:t>
      </w:r>
    </w:p>
    <w:p w14:paraId="6BD4758C" w14:textId="06D8E632" w:rsidR="00EF735A" w:rsidRDefault="00EF735A" w:rsidP="00EF735A">
      <w:pPr>
        <w:pStyle w:val="Odstavek"/>
        <w:spacing w:before="0"/>
        <w:rPr>
          <w:rFonts w:cs="Arial"/>
          <w:lang w:val="sl-SI"/>
        </w:rPr>
      </w:pPr>
    </w:p>
    <w:p w14:paraId="4A03CD80" w14:textId="77777777" w:rsidR="00EF735A" w:rsidRPr="003A52A5" w:rsidRDefault="00EF735A" w:rsidP="00EF735A">
      <w:pPr>
        <w:pStyle w:val="Odstavek"/>
        <w:spacing w:before="0"/>
        <w:rPr>
          <w:rFonts w:cs="Arial"/>
          <w:lang w:val="sl-SI"/>
        </w:rPr>
      </w:pPr>
    </w:p>
    <w:p w14:paraId="6A0B50D6" w14:textId="5E5146F6" w:rsidR="006C3E3E" w:rsidRDefault="008328E9" w:rsidP="008328E9">
      <w:pPr>
        <w:pStyle w:val="Poglavje"/>
        <w:spacing w:before="0"/>
        <w:ind w:left="1080"/>
      </w:pPr>
      <w:r>
        <w:t xml:space="preserve">III. </w:t>
      </w:r>
      <w:r w:rsidR="006C3E3E" w:rsidRPr="003A52A5">
        <w:t>KAZENSKE DOLOČBE</w:t>
      </w:r>
    </w:p>
    <w:p w14:paraId="77ACD361" w14:textId="77777777" w:rsidR="00EF735A" w:rsidRPr="003A52A5" w:rsidRDefault="00EF735A" w:rsidP="00EF735A">
      <w:pPr>
        <w:pStyle w:val="Poglavje"/>
        <w:spacing w:before="0"/>
        <w:ind w:left="360"/>
      </w:pPr>
    </w:p>
    <w:p w14:paraId="4F290000" w14:textId="53F92E77" w:rsidR="006C3E3E" w:rsidRDefault="000E0C5D" w:rsidP="00EF735A">
      <w:pPr>
        <w:pStyle w:val="len"/>
        <w:spacing w:before="0"/>
        <w:rPr>
          <w:rFonts w:cs="Arial"/>
          <w:lang w:val="sl-SI"/>
        </w:rPr>
      </w:pPr>
      <w:r>
        <w:rPr>
          <w:rFonts w:cs="Arial"/>
          <w:lang w:val="sl-SI"/>
        </w:rPr>
        <w:t>9</w:t>
      </w:r>
      <w:r w:rsidR="006C3E3E" w:rsidRPr="003A52A5">
        <w:rPr>
          <w:rFonts w:cs="Arial"/>
          <w:lang w:val="sl-SI"/>
        </w:rPr>
        <w:t>. člen</w:t>
      </w:r>
    </w:p>
    <w:p w14:paraId="003A62DB" w14:textId="49AE3E59" w:rsidR="00EF735A" w:rsidRDefault="00EF735A" w:rsidP="00EF735A">
      <w:pPr>
        <w:pStyle w:val="len"/>
        <w:spacing w:before="0"/>
        <w:rPr>
          <w:rFonts w:cs="Arial"/>
          <w:lang w:val="sl-SI"/>
        </w:rPr>
      </w:pPr>
      <w:r>
        <w:rPr>
          <w:rFonts w:cs="Arial"/>
          <w:lang w:val="sl-SI"/>
        </w:rPr>
        <w:t>(prekrški)</w:t>
      </w:r>
    </w:p>
    <w:p w14:paraId="4E8A1E33" w14:textId="77777777" w:rsidR="00EF735A" w:rsidRPr="003A52A5" w:rsidRDefault="00EF735A" w:rsidP="00EF735A">
      <w:pPr>
        <w:pStyle w:val="len"/>
        <w:spacing w:before="0"/>
        <w:rPr>
          <w:rFonts w:cs="Arial"/>
          <w:lang w:val="sl-SI"/>
        </w:rPr>
      </w:pPr>
    </w:p>
    <w:p w14:paraId="72F1ED2B" w14:textId="4B6862E0" w:rsidR="006C3E3E" w:rsidRPr="003A52A5" w:rsidRDefault="006C3E3E" w:rsidP="00EF735A">
      <w:pPr>
        <w:pStyle w:val="Odstavek"/>
        <w:spacing w:before="0"/>
        <w:rPr>
          <w:rFonts w:cs="Arial"/>
          <w:lang w:val="sl-SI"/>
        </w:rPr>
      </w:pPr>
      <w:r w:rsidRPr="003A52A5">
        <w:rPr>
          <w:rFonts w:cs="Arial"/>
          <w:lang w:val="sl-SI"/>
        </w:rPr>
        <w:t>(1) Z globo 1</w:t>
      </w:r>
      <w:r w:rsidR="00BD1B70">
        <w:rPr>
          <w:rFonts w:cs="Arial"/>
          <w:lang w:val="sl-SI"/>
        </w:rPr>
        <w:t>0</w:t>
      </w:r>
      <w:r w:rsidRPr="003A52A5">
        <w:rPr>
          <w:rFonts w:cs="Arial"/>
          <w:lang w:val="sl-SI"/>
        </w:rPr>
        <w:t xml:space="preserve">.000 eurov se za prekršek kaznuje plačnik </w:t>
      </w:r>
      <w:proofErr w:type="spellStart"/>
      <w:r w:rsidRPr="003A52A5">
        <w:rPr>
          <w:rFonts w:cs="Arial"/>
          <w:lang w:val="sl-SI"/>
        </w:rPr>
        <w:t>okoljske</w:t>
      </w:r>
      <w:proofErr w:type="spellEnd"/>
      <w:r w:rsidRPr="003A52A5">
        <w:rPr>
          <w:rFonts w:cs="Arial"/>
          <w:lang w:val="sl-SI"/>
        </w:rPr>
        <w:t xml:space="preserve"> dajatve</w:t>
      </w:r>
      <w:r w:rsidR="00431B0B" w:rsidRPr="003A52A5">
        <w:rPr>
          <w:rFonts w:cs="Arial"/>
          <w:lang w:val="sl-SI"/>
        </w:rPr>
        <w:t xml:space="preserve"> iz </w:t>
      </w:r>
      <w:r w:rsidR="00086879" w:rsidRPr="003A52A5">
        <w:rPr>
          <w:rFonts w:cs="Arial"/>
          <w:lang w:val="sl-SI"/>
        </w:rPr>
        <w:t>5</w:t>
      </w:r>
      <w:r w:rsidR="00431B0B" w:rsidRPr="003A52A5">
        <w:rPr>
          <w:rFonts w:cs="Arial"/>
          <w:lang w:val="sl-SI"/>
        </w:rPr>
        <w:t>. člena te uredbe</w:t>
      </w:r>
      <w:r w:rsidRPr="003A52A5">
        <w:rPr>
          <w:rFonts w:cs="Arial"/>
          <w:lang w:val="sl-SI"/>
        </w:rPr>
        <w:t>, če:</w:t>
      </w:r>
    </w:p>
    <w:p w14:paraId="46247D69" w14:textId="16A67BA3" w:rsidR="006C3E3E" w:rsidRPr="003A52A5" w:rsidRDefault="008328E9" w:rsidP="008328E9">
      <w:pPr>
        <w:pStyle w:val="tevilnatoka"/>
        <w:numPr>
          <w:ilvl w:val="0"/>
          <w:numId w:val="0"/>
        </w:numPr>
        <w:ind w:firstLine="567"/>
        <w:rPr>
          <w:rFonts w:cs="Arial"/>
        </w:rPr>
      </w:pPr>
      <w:r>
        <w:rPr>
          <w:rFonts w:cs="Arial"/>
        </w:rPr>
        <w:lastRenderedPageBreak/>
        <w:t xml:space="preserve">1. </w:t>
      </w:r>
      <w:r w:rsidR="006C3E3E" w:rsidRPr="003A52A5">
        <w:rPr>
          <w:rFonts w:cs="Arial"/>
        </w:rPr>
        <w:t xml:space="preserve">ne vodi evidence o količini odloženih odpadkov, za katere je nastala obveznost za obračun </w:t>
      </w:r>
      <w:proofErr w:type="spellStart"/>
      <w:r w:rsidR="006C3E3E" w:rsidRPr="003A52A5">
        <w:rPr>
          <w:rFonts w:cs="Arial"/>
        </w:rPr>
        <w:t>okoljske</w:t>
      </w:r>
      <w:proofErr w:type="spellEnd"/>
      <w:r w:rsidR="006C3E3E" w:rsidRPr="003A52A5">
        <w:rPr>
          <w:rFonts w:cs="Arial"/>
        </w:rPr>
        <w:t xml:space="preserve"> dajatve, ločeno po posamezni vrsti odpadkov v skladu s </w:t>
      </w:r>
      <w:r w:rsidR="007A3810">
        <w:rPr>
          <w:rFonts w:cs="Arial"/>
        </w:rPr>
        <w:t>četrtim</w:t>
      </w:r>
      <w:r w:rsidR="006C3E3E" w:rsidRPr="003A52A5">
        <w:rPr>
          <w:rFonts w:cs="Arial"/>
        </w:rPr>
        <w:t xml:space="preserve"> odstavkom </w:t>
      </w:r>
      <w:r w:rsidR="00C6691A" w:rsidRPr="003A52A5">
        <w:rPr>
          <w:rFonts w:cs="Arial"/>
        </w:rPr>
        <w:t>5</w:t>
      </w:r>
      <w:r w:rsidR="006C3E3E" w:rsidRPr="003A52A5">
        <w:rPr>
          <w:rFonts w:cs="Arial"/>
        </w:rPr>
        <w:t>. člena</w:t>
      </w:r>
      <w:r w:rsidR="00C6691A" w:rsidRPr="003A52A5">
        <w:rPr>
          <w:rFonts w:cs="Arial"/>
        </w:rPr>
        <w:t xml:space="preserve"> te uredbe</w:t>
      </w:r>
      <w:r w:rsidR="006C3E3E" w:rsidRPr="003A52A5">
        <w:rPr>
          <w:rFonts w:cs="Arial"/>
        </w:rPr>
        <w:t>,</w:t>
      </w:r>
    </w:p>
    <w:p w14:paraId="00EC097A" w14:textId="6C451016" w:rsidR="006C3E3E" w:rsidRPr="003A52A5" w:rsidRDefault="008328E9" w:rsidP="008328E9">
      <w:pPr>
        <w:pStyle w:val="tevilnatoka"/>
        <w:numPr>
          <w:ilvl w:val="0"/>
          <w:numId w:val="0"/>
        </w:numPr>
        <w:ind w:firstLine="567"/>
        <w:rPr>
          <w:rFonts w:cs="Arial"/>
        </w:rPr>
      </w:pPr>
      <w:r>
        <w:rPr>
          <w:rFonts w:cs="Arial"/>
        </w:rPr>
        <w:t xml:space="preserve">2. </w:t>
      </w:r>
      <w:r w:rsidR="006C3E3E" w:rsidRPr="003A52A5">
        <w:rPr>
          <w:rFonts w:cs="Arial"/>
        </w:rPr>
        <w:t xml:space="preserve">ne predloži obračuna </w:t>
      </w:r>
      <w:proofErr w:type="spellStart"/>
      <w:r w:rsidR="006C3E3E" w:rsidRPr="003A52A5">
        <w:rPr>
          <w:rFonts w:cs="Arial"/>
        </w:rPr>
        <w:t>okoljske</w:t>
      </w:r>
      <w:proofErr w:type="spellEnd"/>
      <w:r w:rsidR="006C3E3E" w:rsidRPr="003A52A5">
        <w:rPr>
          <w:rFonts w:cs="Arial"/>
        </w:rPr>
        <w:t xml:space="preserve"> dajatve </w:t>
      </w:r>
      <w:r w:rsidR="002534B5">
        <w:rPr>
          <w:rFonts w:cs="Arial"/>
        </w:rPr>
        <w:t>finančni upravi</w:t>
      </w:r>
      <w:r w:rsidR="006C3E3E" w:rsidRPr="003A52A5">
        <w:rPr>
          <w:rFonts w:cs="Arial"/>
        </w:rPr>
        <w:t xml:space="preserve"> do 25. dne v mesecu, ki sledi mesecu, v katerem je nastala obveznost za obračun </w:t>
      </w:r>
      <w:proofErr w:type="spellStart"/>
      <w:r w:rsidR="006C3E3E" w:rsidRPr="003A52A5">
        <w:rPr>
          <w:rFonts w:cs="Arial"/>
        </w:rPr>
        <w:t>okoljske</w:t>
      </w:r>
      <w:proofErr w:type="spellEnd"/>
      <w:r w:rsidR="006C3E3E" w:rsidRPr="003A52A5">
        <w:rPr>
          <w:rFonts w:cs="Arial"/>
        </w:rPr>
        <w:t xml:space="preserve"> dajatve v skladu </w:t>
      </w:r>
      <w:r w:rsidR="00C6691A" w:rsidRPr="003A52A5">
        <w:rPr>
          <w:rFonts w:cs="Arial"/>
        </w:rPr>
        <w:t xml:space="preserve">s </w:t>
      </w:r>
      <w:r w:rsidR="007A3810">
        <w:rPr>
          <w:rFonts w:cs="Arial"/>
        </w:rPr>
        <w:t>petim</w:t>
      </w:r>
      <w:r w:rsidR="006C3E3E" w:rsidRPr="003A52A5">
        <w:rPr>
          <w:rFonts w:cs="Arial"/>
        </w:rPr>
        <w:t xml:space="preserve"> odstavkom </w:t>
      </w:r>
      <w:r w:rsidR="00C6691A" w:rsidRPr="003A52A5">
        <w:rPr>
          <w:rFonts w:cs="Arial"/>
        </w:rPr>
        <w:t>5</w:t>
      </w:r>
      <w:r w:rsidR="006C3E3E" w:rsidRPr="003A52A5">
        <w:rPr>
          <w:rFonts w:cs="Arial"/>
        </w:rPr>
        <w:t>. člena</w:t>
      </w:r>
      <w:r w:rsidR="00C6691A" w:rsidRPr="003A52A5">
        <w:rPr>
          <w:rFonts w:cs="Arial"/>
        </w:rPr>
        <w:t xml:space="preserve"> te uredbe</w:t>
      </w:r>
      <w:r w:rsidR="006C3E3E" w:rsidRPr="003A52A5">
        <w:rPr>
          <w:rFonts w:cs="Arial"/>
        </w:rPr>
        <w:t>,</w:t>
      </w:r>
    </w:p>
    <w:p w14:paraId="7A34491C" w14:textId="1396E9A6" w:rsidR="006C3E3E" w:rsidRPr="003A52A5" w:rsidRDefault="008328E9" w:rsidP="008328E9">
      <w:pPr>
        <w:pStyle w:val="tevilnatoka"/>
        <w:numPr>
          <w:ilvl w:val="0"/>
          <w:numId w:val="0"/>
        </w:numPr>
        <w:ind w:firstLine="567"/>
        <w:rPr>
          <w:rFonts w:cs="Arial"/>
        </w:rPr>
      </w:pPr>
      <w:r>
        <w:rPr>
          <w:rFonts w:cs="Arial"/>
        </w:rPr>
        <w:t xml:space="preserve">3. </w:t>
      </w:r>
      <w:r w:rsidR="006C3E3E" w:rsidRPr="003A52A5">
        <w:rPr>
          <w:rFonts w:cs="Arial"/>
        </w:rPr>
        <w:t xml:space="preserve">na obračunu iz </w:t>
      </w:r>
      <w:r w:rsidR="007A3810">
        <w:rPr>
          <w:rFonts w:cs="Arial"/>
        </w:rPr>
        <w:t>petega</w:t>
      </w:r>
      <w:r w:rsidR="006C3E3E" w:rsidRPr="003A52A5">
        <w:rPr>
          <w:rFonts w:cs="Arial"/>
        </w:rPr>
        <w:t xml:space="preserve"> odstavka </w:t>
      </w:r>
      <w:r w:rsidR="00C6691A" w:rsidRPr="003A52A5">
        <w:rPr>
          <w:rFonts w:cs="Arial"/>
        </w:rPr>
        <w:t>5</w:t>
      </w:r>
      <w:r w:rsidR="006C3E3E" w:rsidRPr="003A52A5">
        <w:rPr>
          <w:rFonts w:cs="Arial"/>
        </w:rPr>
        <w:t>. člena te uredbe navede neresnične podatke,</w:t>
      </w:r>
    </w:p>
    <w:p w14:paraId="42E5B56D" w14:textId="5ED8B971" w:rsidR="006C3E3E" w:rsidRPr="003A52A5" w:rsidRDefault="008328E9" w:rsidP="008328E9">
      <w:pPr>
        <w:pStyle w:val="tevilnatoka"/>
        <w:numPr>
          <w:ilvl w:val="0"/>
          <w:numId w:val="0"/>
        </w:numPr>
        <w:ind w:firstLine="567"/>
        <w:rPr>
          <w:rFonts w:cs="Arial"/>
        </w:rPr>
      </w:pPr>
      <w:r>
        <w:rPr>
          <w:rFonts w:cs="Arial"/>
        </w:rPr>
        <w:t xml:space="preserve">4. </w:t>
      </w:r>
      <w:r w:rsidR="006C3E3E" w:rsidRPr="003A52A5">
        <w:rPr>
          <w:rFonts w:cs="Arial"/>
        </w:rPr>
        <w:t xml:space="preserve">ne prijavi začetka, spremembe, prekinitve </w:t>
      </w:r>
      <w:r w:rsidR="00A607C7">
        <w:rPr>
          <w:rFonts w:cs="Arial"/>
        </w:rPr>
        <w:t>ali</w:t>
      </w:r>
      <w:r w:rsidR="006C3E3E" w:rsidRPr="003A52A5">
        <w:rPr>
          <w:rFonts w:cs="Arial"/>
        </w:rPr>
        <w:t xml:space="preserve"> prenehanja opravljanja dejavnosti v rokih, določenih v </w:t>
      </w:r>
      <w:r w:rsidR="007A3810">
        <w:rPr>
          <w:rFonts w:cs="Arial"/>
        </w:rPr>
        <w:t>7</w:t>
      </w:r>
      <w:r w:rsidR="006C3E3E" w:rsidRPr="003A52A5">
        <w:rPr>
          <w:rFonts w:cs="Arial"/>
        </w:rPr>
        <w:t>. členu te uredbe.</w:t>
      </w:r>
    </w:p>
    <w:p w14:paraId="396A0A19" w14:textId="77777777" w:rsidR="008328E9" w:rsidRDefault="008328E9" w:rsidP="00EF735A">
      <w:pPr>
        <w:pStyle w:val="Odstavek"/>
        <w:spacing w:before="0"/>
        <w:rPr>
          <w:rFonts w:cs="Arial"/>
          <w:lang w:val="sl-SI"/>
        </w:rPr>
      </w:pPr>
    </w:p>
    <w:p w14:paraId="016DFE87" w14:textId="0E0D4B90" w:rsidR="006C3E3E" w:rsidRDefault="006C3E3E" w:rsidP="00EF735A">
      <w:pPr>
        <w:pStyle w:val="Odstavek"/>
        <w:spacing w:before="0"/>
        <w:rPr>
          <w:rFonts w:cs="Arial"/>
          <w:lang w:val="sl-SI"/>
        </w:rPr>
      </w:pPr>
      <w:r w:rsidRPr="003A52A5">
        <w:rPr>
          <w:rFonts w:cs="Arial"/>
          <w:lang w:val="sl-SI"/>
        </w:rPr>
        <w:t xml:space="preserve">(2) Z globo </w:t>
      </w:r>
      <w:r w:rsidR="00BD1B70">
        <w:rPr>
          <w:rFonts w:cs="Arial"/>
          <w:lang w:val="sl-SI"/>
        </w:rPr>
        <w:t>1</w:t>
      </w:r>
      <w:r w:rsidRPr="003A52A5">
        <w:rPr>
          <w:rFonts w:cs="Arial"/>
          <w:lang w:val="sl-SI"/>
        </w:rPr>
        <w:t xml:space="preserve">.000 eurov se kaznuje za prekršek iz prejšnjega odstavka tudi odgovorna oseba </w:t>
      </w:r>
      <w:r w:rsidR="00276BF0">
        <w:rPr>
          <w:rFonts w:cs="Arial"/>
          <w:lang w:val="sl-SI"/>
        </w:rPr>
        <w:t xml:space="preserve">plačnika </w:t>
      </w:r>
      <w:proofErr w:type="spellStart"/>
      <w:r w:rsidR="002534B5">
        <w:rPr>
          <w:rFonts w:cs="Arial"/>
          <w:lang w:val="sl-SI"/>
        </w:rPr>
        <w:t>okoljske</w:t>
      </w:r>
      <w:proofErr w:type="spellEnd"/>
      <w:r w:rsidR="002534B5">
        <w:rPr>
          <w:rFonts w:cs="Arial"/>
          <w:lang w:val="sl-SI"/>
        </w:rPr>
        <w:t xml:space="preserve"> dajatve</w:t>
      </w:r>
      <w:r w:rsidRPr="003A52A5">
        <w:rPr>
          <w:rFonts w:cs="Arial"/>
          <w:lang w:val="sl-SI"/>
        </w:rPr>
        <w:t>.</w:t>
      </w:r>
    </w:p>
    <w:p w14:paraId="2B9721E8" w14:textId="77777777" w:rsidR="00EF735A" w:rsidRPr="003A52A5" w:rsidRDefault="00EF735A" w:rsidP="00EF735A">
      <w:pPr>
        <w:pStyle w:val="Odstavek"/>
        <w:spacing w:before="0"/>
        <w:rPr>
          <w:rFonts w:cs="Arial"/>
          <w:lang w:val="sl-SI"/>
        </w:rPr>
      </w:pPr>
    </w:p>
    <w:p w14:paraId="0290080A" w14:textId="77777777" w:rsidR="00EF735A" w:rsidRDefault="00EF735A" w:rsidP="00EF735A">
      <w:pPr>
        <w:pStyle w:val="Poglavje"/>
        <w:spacing w:before="0"/>
      </w:pPr>
    </w:p>
    <w:p w14:paraId="73CA320B" w14:textId="23B56FD5" w:rsidR="006C3E3E" w:rsidRPr="003A52A5" w:rsidRDefault="00C6691A" w:rsidP="00EF735A">
      <w:pPr>
        <w:pStyle w:val="Poglavje"/>
        <w:spacing w:before="0"/>
      </w:pPr>
      <w:r w:rsidRPr="003A52A5">
        <w:t>I</w:t>
      </w:r>
      <w:r w:rsidR="006C3E3E" w:rsidRPr="003A52A5">
        <w:t>V. PREHODNI IN KONČNI DOLOČBI</w:t>
      </w:r>
    </w:p>
    <w:p w14:paraId="4FACF29A" w14:textId="77777777" w:rsidR="00EF735A" w:rsidRDefault="00EF735A" w:rsidP="00EF735A">
      <w:pPr>
        <w:pStyle w:val="len"/>
        <w:spacing w:before="0"/>
        <w:rPr>
          <w:rFonts w:cs="Arial"/>
          <w:lang w:val="sl-SI"/>
        </w:rPr>
      </w:pPr>
    </w:p>
    <w:p w14:paraId="2CAE5F76" w14:textId="107A9B15" w:rsidR="006C3E3E" w:rsidRDefault="006C3E3E" w:rsidP="00EF735A">
      <w:pPr>
        <w:pStyle w:val="len"/>
        <w:spacing w:before="0"/>
        <w:rPr>
          <w:rFonts w:cs="Arial"/>
          <w:lang w:val="sl-SI"/>
        </w:rPr>
      </w:pPr>
      <w:r w:rsidRPr="003A52A5">
        <w:rPr>
          <w:rFonts w:cs="Arial"/>
          <w:lang w:val="sl-SI"/>
        </w:rPr>
        <w:t>1</w:t>
      </w:r>
      <w:r w:rsidR="004F4148" w:rsidRPr="003A52A5">
        <w:rPr>
          <w:rFonts w:cs="Arial"/>
          <w:lang w:val="sl-SI"/>
        </w:rPr>
        <w:t>0</w:t>
      </w:r>
      <w:r w:rsidRPr="003A52A5">
        <w:rPr>
          <w:rFonts w:cs="Arial"/>
          <w:lang w:val="sl-SI"/>
        </w:rPr>
        <w:t>. člen</w:t>
      </w:r>
    </w:p>
    <w:p w14:paraId="4A9C3119" w14:textId="3E41C005" w:rsidR="00EF735A" w:rsidRDefault="00117C2B" w:rsidP="00EF735A">
      <w:pPr>
        <w:pStyle w:val="len"/>
        <w:spacing w:before="0"/>
        <w:rPr>
          <w:rFonts w:cs="Arial"/>
          <w:lang w:val="sl-SI"/>
        </w:rPr>
      </w:pPr>
      <w:r>
        <w:rPr>
          <w:rFonts w:cs="Arial"/>
          <w:lang w:val="sl-SI"/>
        </w:rPr>
        <w:t>(izjema glede prijave opravljanja dejavnosti)</w:t>
      </w:r>
    </w:p>
    <w:p w14:paraId="10ABFF3A" w14:textId="77777777" w:rsidR="00117C2B" w:rsidRPr="003A52A5" w:rsidRDefault="00117C2B" w:rsidP="00EF735A">
      <w:pPr>
        <w:pStyle w:val="len"/>
        <w:spacing w:before="0"/>
        <w:rPr>
          <w:rFonts w:cs="Arial"/>
          <w:lang w:val="sl-SI"/>
        </w:rPr>
      </w:pPr>
    </w:p>
    <w:p w14:paraId="38910C28" w14:textId="38E3DC5B" w:rsidR="006C3E3E" w:rsidRDefault="004B5568" w:rsidP="00EF735A">
      <w:pPr>
        <w:pStyle w:val="Odstavek"/>
        <w:spacing w:before="0"/>
        <w:rPr>
          <w:rFonts w:cs="Arial"/>
          <w:lang w:val="sl-SI"/>
        </w:rPr>
      </w:pPr>
      <w:r w:rsidRPr="003A52A5">
        <w:rPr>
          <w:rFonts w:cs="Arial"/>
          <w:lang w:val="sl-SI"/>
        </w:rPr>
        <w:t>P</w:t>
      </w:r>
      <w:r w:rsidR="006C3E3E" w:rsidRPr="003A52A5">
        <w:rPr>
          <w:rFonts w:cs="Arial"/>
          <w:lang w:val="sl-SI"/>
        </w:rPr>
        <w:t xml:space="preserve">lačniku </w:t>
      </w:r>
      <w:proofErr w:type="spellStart"/>
      <w:r w:rsidR="006C3E3E" w:rsidRPr="003A52A5">
        <w:rPr>
          <w:rFonts w:cs="Arial"/>
          <w:lang w:val="sl-SI"/>
        </w:rPr>
        <w:t>okoljske</w:t>
      </w:r>
      <w:proofErr w:type="spellEnd"/>
      <w:r w:rsidR="006C3E3E" w:rsidRPr="003A52A5">
        <w:rPr>
          <w:rFonts w:cs="Arial"/>
          <w:lang w:val="sl-SI"/>
        </w:rPr>
        <w:t xml:space="preserve"> dajatve</w:t>
      </w:r>
      <w:r w:rsidRPr="003A52A5">
        <w:rPr>
          <w:rFonts w:cs="Arial"/>
          <w:lang w:val="sl-SI"/>
        </w:rPr>
        <w:t xml:space="preserve"> iz </w:t>
      </w:r>
      <w:r w:rsidR="00C6691A" w:rsidRPr="003A52A5">
        <w:rPr>
          <w:rFonts w:cs="Arial"/>
          <w:lang w:val="sl-SI"/>
        </w:rPr>
        <w:t>5</w:t>
      </w:r>
      <w:r w:rsidRPr="003A52A5">
        <w:rPr>
          <w:rFonts w:cs="Arial"/>
          <w:lang w:val="sl-SI"/>
        </w:rPr>
        <w:t>. člena te uredbe</w:t>
      </w:r>
      <w:r w:rsidR="006C3E3E" w:rsidRPr="003A52A5">
        <w:rPr>
          <w:rFonts w:cs="Arial"/>
          <w:lang w:val="sl-SI"/>
        </w:rPr>
        <w:t xml:space="preserve"> ni treba ponovno prijaviti začetka opravljanja dejavnosti, če je vpisan v evidenco v skladu z 1</w:t>
      </w:r>
      <w:r w:rsidR="00362CD2" w:rsidRPr="003A52A5">
        <w:rPr>
          <w:rFonts w:cs="Arial"/>
          <w:lang w:val="sl-SI"/>
        </w:rPr>
        <w:t>1</w:t>
      </w:r>
      <w:r w:rsidR="006C3E3E" w:rsidRPr="003A52A5">
        <w:rPr>
          <w:rFonts w:cs="Arial"/>
          <w:lang w:val="sl-SI"/>
        </w:rPr>
        <w:t xml:space="preserve">. členom Uredbe o </w:t>
      </w:r>
      <w:proofErr w:type="spellStart"/>
      <w:r w:rsidR="006C3E3E" w:rsidRPr="003A52A5">
        <w:rPr>
          <w:rFonts w:cs="Arial"/>
          <w:lang w:val="sl-SI"/>
        </w:rPr>
        <w:t>okoljski</w:t>
      </w:r>
      <w:proofErr w:type="spellEnd"/>
      <w:r w:rsidR="006C3E3E" w:rsidRPr="003A52A5">
        <w:rPr>
          <w:rFonts w:cs="Arial"/>
          <w:lang w:val="sl-SI"/>
        </w:rPr>
        <w:t xml:space="preserve"> dajatvi za onesnaževanje okolja zaradi odlaganja odpadkov na odlagališčih (Uradni list RS, št. </w:t>
      </w:r>
      <w:r w:rsidR="00362CD2" w:rsidRPr="003A52A5">
        <w:rPr>
          <w:rFonts w:cs="Arial"/>
          <w:lang w:val="sl-SI"/>
        </w:rPr>
        <w:t>14</w:t>
      </w:r>
      <w:r w:rsidR="006C3E3E" w:rsidRPr="003A52A5">
        <w:rPr>
          <w:rFonts w:cs="Arial"/>
          <w:lang w:val="sl-SI"/>
        </w:rPr>
        <w:t>/1</w:t>
      </w:r>
      <w:r w:rsidR="00362CD2" w:rsidRPr="003A52A5">
        <w:rPr>
          <w:rFonts w:cs="Arial"/>
          <w:lang w:val="sl-SI"/>
        </w:rPr>
        <w:t>4</w:t>
      </w:r>
      <w:r w:rsidR="00C6691A" w:rsidRPr="003A52A5">
        <w:rPr>
          <w:rFonts w:cs="Arial"/>
          <w:lang w:val="sl-SI"/>
        </w:rPr>
        <w:t xml:space="preserve"> in 44/22 – ZVO-2</w:t>
      </w:r>
      <w:r w:rsidR="006C3E3E" w:rsidRPr="003A52A5">
        <w:rPr>
          <w:rFonts w:cs="Arial"/>
          <w:lang w:val="sl-SI"/>
        </w:rPr>
        <w:t>).</w:t>
      </w:r>
    </w:p>
    <w:p w14:paraId="188963CE" w14:textId="77777777" w:rsidR="00EF735A" w:rsidRPr="003A52A5" w:rsidRDefault="00EF735A" w:rsidP="00EF735A">
      <w:pPr>
        <w:pStyle w:val="Odstavek"/>
        <w:spacing w:before="0"/>
        <w:rPr>
          <w:rFonts w:cs="Arial"/>
          <w:lang w:val="sl-SI"/>
        </w:rPr>
      </w:pPr>
    </w:p>
    <w:p w14:paraId="2F8C2FA7" w14:textId="39D86142" w:rsidR="006C3E3E" w:rsidRDefault="006C3E3E" w:rsidP="00EF735A">
      <w:pPr>
        <w:pStyle w:val="len"/>
        <w:spacing w:before="0"/>
        <w:rPr>
          <w:rFonts w:cs="Arial"/>
          <w:lang w:val="sl-SI"/>
        </w:rPr>
      </w:pPr>
      <w:r w:rsidRPr="003A52A5">
        <w:rPr>
          <w:rFonts w:cs="Arial"/>
          <w:lang w:val="sl-SI"/>
        </w:rPr>
        <w:t>1</w:t>
      </w:r>
      <w:r w:rsidR="004F4148" w:rsidRPr="003A52A5">
        <w:rPr>
          <w:rFonts w:cs="Arial"/>
          <w:lang w:val="sl-SI"/>
        </w:rPr>
        <w:t>1</w:t>
      </w:r>
      <w:r w:rsidRPr="003A52A5">
        <w:rPr>
          <w:rFonts w:cs="Arial"/>
          <w:lang w:val="sl-SI"/>
        </w:rPr>
        <w:t>. člen</w:t>
      </w:r>
    </w:p>
    <w:p w14:paraId="3D17E53D" w14:textId="33FD1E27" w:rsidR="00EF735A" w:rsidRPr="003A52A5" w:rsidRDefault="00EF735A" w:rsidP="00EF735A">
      <w:pPr>
        <w:pStyle w:val="len"/>
        <w:spacing w:before="0"/>
        <w:rPr>
          <w:rFonts w:cs="Arial"/>
          <w:lang w:val="sl-SI"/>
        </w:rPr>
      </w:pPr>
      <w:r>
        <w:rPr>
          <w:rFonts w:cs="Arial"/>
          <w:lang w:val="sl-SI"/>
        </w:rPr>
        <w:t>(prenehanje veljavnosti uredbe)</w:t>
      </w:r>
    </w:p>
    <w:p w14:paraId="4C67814E" w14:textId="77777777" w:rsidR="00EF735A" w:rsidRDefault="00EF735A" w:rsidP="00EF735A">
      <w:pPr>
        <w:pStyle w:val="Odstavek"/>
        <w:spacing w:before="0"/>
        <w:rPr>
          <w:rFonts w:cs="Arial"/>
          <w:lang w:val="sl-SI"/>
        </w:rPr>
      </w:pPr>
    </w:p>
    <w:p w14:paraId="300CDA55" w14:textId="61D53BE4" w:rsidR="00C6691A" w:rsidRDefault="006C3E3E" w:rsidP="00EF735A">
      <w:pPr>
        <w:pStyle w:val="Odstavek"/>
        <w:spacing w:before="0"/>
        <w:rPr>
          <w:rFonts w:cs="Arial"/>
          <w:lang w:val="sl-SI"/>
        </w:rPr>
      </w:pPr>
      <w:r w:rsidRPr="003A52A5">
        <w:rPr>
          <w:rFonts w:cs="Arial"/>
          <w:lang w:val="sl-SI"/>
        </w:rPr>
        <w:t xml:space="preserve">Z dnem uveljavitve te uredbe preneha veljati Uredba o </w:t>
      </w:r>
      <w:proofErr w:type="spellStart"/>
      <w:r w:rsidRPr="003A52A5">
        <w:rPr>
          <w:rFonts w:cs="Arial"/>
          <w:lang w:val="sl-SI"/>
        </w:rPr>
        <w:t>okoljski</w:t>
      </w:r>
      <w:proofErr w:type="spellEnd"/>
      <w:r w:rsidRPr="003A52A5">
        <w:rPr>
          <w:rFonts w:cs="Arial"/>
          <w:lang w:val="sl-SI"/>
        </w:rPr>
        <w:t xml:space="preserve"> dajatvi za onesnaževanje okolja zaradi odlaganja odpadkov na odlagališčih </w:t>
      </w:r>
      <w:r w:rsidR="004B5568" w:rsidRPr="003A52A5">
        <w:rPr>
          <w:rFonts w:cs="Arial"/>
          <w:lang w:val="sl-SI"/>
        </w:rPr>
        <w:t>(Uradni list RS, št. 14/14</w:t>
      </w:r>
      <w:r w:rsidR="00C6691A" w:rsidRPr="003A52A5">
        <w:rPr>
          <w:rFonts w:cs="Arial"/>
          <w:lang w:val="sl-SI"/>
        </w:rPr>
        <w:t xml:space="preserve"> in 44/22 – ZVO-2</w:t>
      </w:r>
      <w:r w:rsidR="004B5568" w:rsidRPr="003A52A5">
        <w:rPr>
          <w:rFonts w:cs="Arial"/>
          <w:lang w:val="sl-SI"/>
        </w:rPr>
        <w:t>)</w:t>
      </w:r>
      <w:r w:rsidR="00C6691A" w:rsidRPr="003A52A5">
        <w:rPr>
          <w:rFonts w:cs="Arial"/>
          <w:lang w:val="sl-SI"/>
        </w:rPr>
        <w:t>.</w:t>
      </w:r>
    </w:p>
    <w:p w14:paraId="030F96E6" w14:textId="77777777" w:rsidR="00EF735A" w:rsidRPr="003A52A5" w:rsidRDefault="00EF735A" w:rsidP="00EF735A">
      <w:pPr>
        <w:pStyle w:val="Odstavek"/>
        <w:spacing w:before="0"/>
        <w:rPr>
          <w:rFonts w:cs="Arial"/>
          <w:lang w:val="sl-SI"/>
        </w:rPr>
      </w:pPr>
    </w:p>
    <w:p w14:paraId="7820BF59" w14:textId="6F897D7D" w:rsidR="006C3E3E" w:rsidRDefault="004B5568" w:rsidP="00EF735A">
      <w:pPr>
        <w:pStyle w:val="len"/>
        <w:spacing w:before="0"/>
        <w:rPr>
          <w:rFonts w:cs="Arial"/>
          <w:lang w:val="sl-SI"/>
        </w:rPr>
      </w:pPr>
      <w:r w:rsidRPr="003A52A5" w:rsidDel="004B5568">
        <w:rPr>
          <w:rFonts w:cs="Arial"/>
          <w:lang w:val="sl-SI"/>
        </w:rPr>
        <w:t xml:space="preserve"> </w:t>
      </w:r>
      <w:r w:rsidR="006C3E3E" w:rsidRPr="003A52A5">
        <w:rPr>
          <w:rFonts w:cs="Arial"/>
          <w:lang w:val="sl-SI"/>
        </w:rPr>
        <w:t>1</w:t>
      </w:r>
      <w:r w:rsidR="004F4148" w:rsidRPr="003A52A5">
        <w:rPr>
          <w:rFonts w:cs="Arial"/>
          <w:lang w:val="sl-SI"/>
        </w:rPr>
        <w:t>2</w:t>
      </w:r>
      <w:r w:rsidR="006C3E3E" w:rsidRPr="003A52A5">
        <w:rPr>
          <w:rFonts w:cs="Arial"/>
          <w:lang w:val="sl-SI"/>
        </w:rPr>
        <w:t>. člen</w:t>
      </w:r>
    </w:p>
    <w:p w14:paraId="08A018DA" w14:textId="32BC1413" w:rsidR="00EF735A" w:rsidRDefault="00EF735A" w:rsidP="00EF735A">
      <w:pPr>
        <w:pStyle w:val="len"/>
        <w:spacing w:before="0"/>
        <w:rPr>
          <w:rFonts w:cs="Arial"/>
          <w:lang w:val="sl-SI"/>
        </w:rPr>
      </w:pPr>
      <w:r>
        <w:rPr>
          <w:rFonts w:cs="Arial"/>
          <w:lang w:val="sl-SI"/>
        </w:rPr>
        <w:t>(začetek veljavnosti)</w:t>
      </w:r>
    </w:p>
    <w:p w14:paraId="745AFE28" w14:textId="77777777" w:rsidR="00EF735A" w:rsidRPr="003A52A5" w:rsidRDefault="00EF735A" w:rsidP="00EF735A">
      <w:pPr>
        <w:pStyle w:val="len"/>
        <w:spacing w:before="0"/>
        <w:rPr>
          <w:rFonts w:cs="Arial"/>
          <w:b w:val="0"/>
          <w:lang w:val="sl-SI"/>
        </w:rPr>
      </w:pPr>
    </w:p>
    <w:p w14:paraId="24DF7050" w14:textId="57AE1D53" w:rsidR="007A3810" w:rsidRPr="007A3810" w:rsidRDefault="007A3810" w:rsidP="00DC261C">
      <w:pPr>
        <w:pStyle w:val="Odstavek"/>
        <w:spacing w:before="0"/>
        <w:rPr>
          <w:rFonts w:cs="Arial"/>
        </w:rPr>
      </w:pPr>
      <w:r>
        <w:rPr>
          <w:rFonts w:cs="Arial"/>
        </w:rPr>
        <w:t xml:space="preserve">Ta uredba začne </w:t>
      </w:r>
      <w:r w:rsidRPr="007A3810">
        <w:rPr>
          <w:rFonts w:cs="Arial"/>
        </w:rPr>
        <w:t>veljati petnajsti dan po objavi v Uradnem listu Republike Slovenije, uporabljati pa se začne 1. januarja 20</w:t>
      </w:r>
      <w:r w:rsidR="00DC261C">
        <w:rPr>
          <w:rFonts w:cs="Arial"/>
        </w:rPr>
        <w:t>23</w:t>
      </w:r>
      <w:r w:rsidRPr="007A3810">
        <w:rPr>
          <w:rFonts w:cs="Arial"/>
        </w:rPr>
        <w:t>.</w:t>
      </w:r>
    </w:p>
    <w:p w14:paraId="1B59BCAF" w14:textId="4A91F6D1" w:rsidR="006C3E3E" w:rsidRPr="003A52A5" w:rsidRDefault="006C3E3E" w:rsidP="00EF735A">
      <w:pPr>
        <w:pStyle w:val="Odstavek"/>
        <w:spacing w:before="0"/>
        <w:rPr>
          <w:rFonts w:cs="Arial"/>
          <w:lang w:val="sl-SI"/>
        </w:rPr>
      </w:pPr>
    </w:p>
    <w:p w14:paraId="4EBE4762" w14:textId="77777777" w:rsidR="00EF735A" w:rsidRDefault="00EF735A" w:rsidP="00EF735A">
      <w:pPr>
        <w:pStyle w:val="tevilkanakoncupredpisa"/>
        <w:spacing w:before="0"/>
        <w:rPr>
          <w:rFonts w:cs="Arial"/>
          <w:lang w:val="sl-SI"/>
        </w:rPr>
      </w:pPr>
    </w:p>
    <w:p w14:paraId="4FE6387D" w14:textId="77777777" w:rsidR="00EF735A" w:rsidRDefault="00EF735A" w:rsidP="00EF735A">
      <w:pPr>
        <w:pStyle w:val="tevilkanakoncupredpisa"/>
        <w:spacing w:before="0"/>
        <w:rPr>
          <w:rFonts w:cs="Arial"/>
          <w:lang w:val="sl-SI"/>
        </w:rPr>
      </w:pPr>
    </w:p>
    <w:p w14:paraId="2100FF56" w14:textId="77777777" w:rsidR="00EF735A" w:rsidRDefault="00EF735A" w:rsidP="00EF735A">
      <w:pPr>
        <w:pStyle w:val="tevilkanakoncupredpisa"/>
        <w:spacing w:before="0"/>
        <w:rPr>
          <w:rFonts w:cs="Arial"/>
          <w:lang w:val="sl-SI"/>
        </w:rPr>
      </w:pPr>
    </w:p>
    <w:p w14:paraId="5CA84915" w14:textId="24A1E738" w:rsidR="006C3E3E" w:rsidRPr="003A52A5" w:rsidRDefault="006C3E3E" w:rsidP="00EF735A">
      <w:pPr>
        <w:pStyle w:val="tevilkanakoncupredpisa"/>
        <w:spacing w:before="0"/>
        <w:rPr>
          <w:rFonts w:cs="Arial"/>
          <w:lang w:val="sl-SI"/>
        </w:rPr>
      </w:pPr>
      <w:r w:rsidRPr="003A52A5">
        <w:rPr>
          <w:rFonts w:cs="Arial"/>
          <w:lang w:val="sl-SI"/>
        </w:rPr>
        <w:t xml:space="preserve">Št. </w:t>
      </w:r>
      <w:r w:rsidR="008F2DDA">
        <w:rPr>
          <w:rFonts w:cs="Arial"/>
          <w:lang w:val="sl-SI"/>
        </w:rPr>
        <w:t>007-268/2022</w:t>
      </w:r>
    </w:p>
    <w:p w14:paraId="3F089DB8" w14:textId="6B287605" w:rsidR="006C3E3E" w:rsidRPr="003A52A5" w:rsidRDefault="006C3E3E" w:rsidP="00EF735A">
      <w:pPr>
        <w:pStyle w:val="Datumsprejetja"/>
        <w:rPr>
          <w:rFonts w:cs="Arial"/>
          <w:lang w:val="sl-SI"/>
        </w:rPr>
      </w:pPr>
      <w:r w:rsidRPr="003A52A5">
        <w:rPr>
          <w:rFonts w:cs="Arial"/>
          <w:lang w:val="sl-SI"/>
        </w:rPr>
        <w:t xml:space="preserve">Ljubljana, dne </w:t>
      </w:r>
      <w:r w:rsidR="005E0D29">
        <w:rPr>
          <w:rFonts w:cs="Arial"/>
          <w:lang w:val="sl-SI"/>
        </w:rPr>
        <w:t>25. 11. 2022</w:t>
      </w:r>
    </w:p>
    <w:p w14:paraId="489775AF" w14:textId="4DEDEDDB" w:rsidR="006C3E3E" w:rsidRPr="003A52A5" w:rsidRDefault="006C3E3E" w:rsidP="00EF735A">
      <w:pPr>
        <w:pStyle w:val="EVA"/>
        <w:rPr>
          <w:rFonts w:cs="Arial"/>
          <w:lang w:val="sl-SI"/>
        </w:rPr>
      </w:pPr>
      <w:r w:rsidRPr="003A52A5">
        <w:rPr>
          <w:rFonts w:cs="Arial"/>
          <w:lang w:val="sl-SI"/>
        </w:rPr>
        <w:t xml:space="preserve">EVA </w:t>
      </w:r>
      <w:r w:rsidR="008F2DDA" w:rsidRPr="008F2DDA">
        <w:rPr>
          <w:rFonts w:cs="Arial"/>
          <w:lang w:val="sl-SI"/>
        </w:rPr>
        <w:t>2022-2550-0101</w:t>
      </w:r>
    </w:p>
    <w:p w14:paraId="758A8C3E" w14:textId="77777777" w:rsidR="006C3E3E" w:rsidRPr="003A52A5" w:rsidRDefault="006C3E3E" w:rsidP="00EF735A">
      <w:pPr>
        <w:pStyle w:val="Imeorgana"/>
        <w:spacing w:before="0"/>
        <w:rPr>
          <w:rFonts w:cs="Arial"/>
          <w:lang w:val="sl-SI"/>
        </w:rPr>
      </w:pPr>
      <w:r w:rsidRPr="003A52A5">
        <w:rPr>
          <w:rFonts w:cs="Arial"/>
          <w:lang w:val="sl-SI"/>
        </w:rPr>
        <w:t>Vlada Republike Slovenije</w:t>
      </w:r>
    </w:p>
    <w:p w14:paraId="5F332646" w14:textId="77777777" w:rsidR="006C3E3E" w:rsidRPr="003A52A5" w:rsidRDefault="004B5568" w:rsidP="00EF735A">
      <w:pPr>
        <w:pStyle w:val="Podpisnik"/>
      </w:pPr>
      <w:r w:rsidRPr="003A52A5">
        <w:rPr>
          <w:b/>
        </w:rPr>
        <w:t>dr. Robert Golob</w:t>
      </w:r>
      <w:r w:rsidR="006C3E3E" w:rsidRPr="003A52A5">
        <w:t xml:space="preserve"> </w:t>
      </w:r>
      <w:proofErr w:type="spellStart"/>
      <w:r w:rsidR="006C3E3E" w:rsidRPr="003A52A5">
        <w:t>l.r</w:t>
      </w:r>
      <w:proofErr w:type="spellEnd"/>
      <w:r w:rsidR="006C3E3E" w:rsidRPr="003A52A5">
        <w:t>.</w:t>
      </w:r>
    </w:p>
    <w:p w14:paraId="48504018" w14:textId="77777777" w:rsidR="006C3E3E" w:rsidRPr="003A52A5" w:rsidRDefault="006C3E3E" w:rsidP="00EF735A">
      <w:pPr>
        <w:pStyle w:val="Nazivpodpisnika"/>
        <w:rPr>
          <w:rFonts w:cs="Arial"/>
          <w:lang w:val="sl-SI"/>
        </w:rPr>
      </w:pPr>
      <w:r w:rsidRPr="003A52A5">
        <w:rPr>
          <w:rFonts w:cs="Arial"/>
          <w:lang w:val="sl-SI"/>
        </w:rPr>
        <w:t>Predsednik</w:t>
      </w:r>
    </w:p>
    <w:p w14:paraId="49B7AB70" w14:textId="77777777" w:rsidR="00BA4DF6" w:rsidRPr="003A52A5" w:rsidRDefault="00BA4DF6" w:rsidP="00EF735A">
      <w:pPr>
        <w:pStyle w:val="rta"/>
        <w:spacing w:before="0"/>
        <w:rPr>
          <w:rFonts w:cs="Arial"/>
          <w:lang w:val="sl-SI"/>
        </w:rPr>
        <w:sectPr w:rsidR="00BA4DF6" w:rsidRPr="003A52A5" w:rsidSect="00B3609A">
          <w:pgSz w:w="11907" w:h="16840" w:code="9"/>
          <w:pgMar w:top="1417" w:right="1417" w:bottom="1417" w:left="1417" w:header="708" w:footer="708" w:gutter="0"/>
          <w:cols w:space="708"/>
          <w:docGrid w:linePitch="218"/>
        </w:sectPr>
      </w:pPr>
    </w:p>
    <w:p w14:paraId="2638D5E9" w14:textId="77777777" w:rsidR="00BA4DF6" w:rsidRPr="003A52A5" w:rsidRDefault="00BA4DF6" w:rsidP="00EF735A">
      <w:pPr>
        <w:ind w:right="-51"/>
        <w:rPr>
          <w:rFonts w:cs="Arial"/>
          <w:b/>
          <w:szCs w:val="20"/>
        </w:rPr>
      </w:pPr>
      <w:r w:rsidRPr="003A52A5">
        <w:rPr>
          <w:rFonts w:cs="Arial"/>
          <w:b/>
          <w:szCs w:val="20"/>
        </w:rPr>
        <w:lastRenderedPageBreak/>
        <w:t>OBRAZLOŽITEV:</w:t>
      </w:r>
    </w:p>
    <w:p w14:paraId="6D730689" w14:textId="77777777" w:rsidR="00BA4DF6" w:rsidRPr="003A52A5" w:rsidRDefault="00BA4DF6" w:rsidP="00EF735A">
      <w:pPr>
        <w:pStyle w:val="Telobesedila2"/>
        <w:spacing w:after="0" w:line="240" w:lineRule="auto"/>
        <w:jc w:val="both"/>
        <w:rPr>
          <w:rFonts w:cs="Arial"/>
          <w:lang w:val="sl-SI"/>
        </w:rPr>
      </w:pPr>
    </w:p>
    <w:p w14:paraId="70CEAD21" w14:textId="77777777" w:rsidR="00BA4DF6" w:rsidRPr="003A52A5" w:rsidRDefault="00BA4DF6" w:rsidP="00EF735A">
      <w:pPr>
        <w:pStyle w:val="Telobesedila2"/>
        <w:spacing w:after="0" w:line="240" w:lineRule="auto"/>
        <w:jc w:val="both"/>
        <w:rPr>
          <w:rFonts w:cs="Arial"/>
          <w:lang w:val="sl-SI"/>
        </w:rPr>
      </w:pPr>
    </w:p>
    <w:p w14:paraId="43D4B277" w14:textId="77777777" w:rsidR="00BA4DF6" w:rsidRPr="003A52A5" w:rsidRDefault="00BA4DF6" w:rsidP="00EF735A">
      <w:pPr>
        <w:pStyle w:val="Telobesedila2"/>
        <w:spacing w:after="0" w:line="240" w:lineRule="auto"/>
        <w:jc w:val="both"/>
        <w:rPr>
          <w:rFonts w:cs="Arial"/>
          <w:sz w:val="22"/>
          <w:szCs w:val="22"/>
          <w:lang w:val="sl-SI"/>
        </w:rPr>
      </w:pPr>
      <w:r w:rsidRPr="003A52A5">
        <w:rPr>
          <w:rFonts w:cs="Arial"/>
          <w:sz w:val="22"/>
          <w:szCs w:val="22"/>
          <w:lang w:val="sl-SI"/>
        </w:rPr>
        <w:t xml:space="preserve">Uredba o </w:t>
      </w:r>
      <w:proofErr w:type="spellStart"/>
      <w:r w:rsidRPr="003A52A5">
        <w:rPr>
          <w:rFonts w:cs="Arial"/>
          <w:sz w:val="22"/>
          <w:szCs w:val="22"/>
          <w:lang w:val="sl-SI"/>
        </w:rPr>
        <w:t>okoljski</w:t>
      </w:r>
      <w:proofErr w:type="spellEnd"/>
      <w:r w:rsidRPr="003A52A5">
        <w:rPr>
          <w:rFonts w:cs="Arial"/>
          <w:sz w:val="22"/>
          <w:szCs w:val="22"/>
          <w:lang w:val="sl-SI"/>
        </w:rPr>
        <w:t xml:space="preserve"> dajatvi za onesnaževanje okolja zaradi odlaganja odpadkov na odlagališčih (v nadaljnjem besedilu: Uredba) določa osnovo za obračun </w:t>
      </w:r>
      <w:proofErr w:type="spellStart"/>
      <w:r w:rsidRPr="003A52A5">
        <w:rPr>
          <w:rFonts w:cs="Arial"/>
          <w:sz w:val="22"/>
          <w:szCs w:val="22"/>
          <w:lang w:val="sl-SI"/>
        </w:rPr>
        <w:t>okoljske</w:t>
      </w:r>
      <w:proofErr w:type="spellEnd"/>
      <w:r w:rsidRPr="003A52A5">
        <w:rPr>
          <w:rFonts w:cs="Arial"/>
          <w:sz w:val="22"/>
          <w:szCs w:val="22"/>
          <w:lang w:val="sl-SI"/>
        </w:rPr>
        <w:t xml:space="preserve"> dajatve, njeno višino in način njenega obračunavanja in plačevanja ter zavezance in plačnike </w:t>
      </w:r>
      <w:proofErr w:type="spellStart"/>
      <w:r w:rsidRPr="003A52A5">
        <w:rPr>
          <w:rFonts w:cs="Arial"/>
          <w:sz w:val="22"/>
          <w:szCs w:val="22"/>
          <w:lang w:val="sl-SI"/>
        </w:rPr>
        <w:t>okoljskih</w:t>
      </w:r>
      <w:proofErr w:type="spellEnd"/>
      <w:r w:rsidRPr="003A52A5">
        <w:rPr>
          <w:rFonts w:cs="Arial"/>
          <w:sz w:val="22"/>
          <w:szCs w:val="22"/>
          <w:lang w:val="sl-SI"/>
        </w:rPr>
        <w:t xml:space="preserve"> dajatev za onesnaževanje okolja zaradi odlaganja odpadkov na odlagališčih. </w:t>
      </w:r>
    </w:p>
    <w:p w14:paraId="51CF5339" w14:textId="77777777" w:rsidR="00BA4DF6" w:rsidRPr="003A52A5" w:rsidRDefault="00BA4DF6" w:rsidP="00EF735A">
      <w:pPr>
        <w:pStyle w:val="Telobesedila2"/>
        <w:spacing w:after="0" w:line="240" w:lineRule="auto"/>
        <w:jc w:val="both"/>
        <w:rPr>
          <w:rFonts w:cs="Arial"/>
          <w:sz w:val="22"/>
          <w:szCs w:val="22"/>
          <w:lang w:val="sl-SI"/>
        </w:rPr>
      </w:pPr>
    </w:p>
    <w:p w14:paraId="19B8A34D" w14:textId="7BB40D97" w:rsidR="00BA4DF6" w:rsidRPr="003A52A5" w:rsidRDefault="00BA4DF6" w:rsidP="00EF735A">
      <w:pPr>
        <w:pStyle w:val="Telobesedila2"/>
        <w:spacing w:after="0" w:line="240" w:lineRule="auto"/>
        <w:jc w:val="both"/>
        <w:rPr>
          <w:rFonts w:cs="Arial"/>
          <w:sz w:val="22"/>
          <w:szCs w:val="22"/>
          <w:lang w:val="sl-SI"/>
        </w:rPr>
      </w:pPr>
      <w:r w:rsidRPr="003A52A5">
        <w:rPr>
          <w:rFonts w:cs="Arial"/>
          <w:sz w:val="22"/>
          <w:szCs w:val="22"/>
          <w:lang w:val="sl-SI"/>
        </w:rPr>
        <w:t xml:space="preserve">Uredba tudi določa, da obveznost za obračun </w:t>
      </w:r>
      <w:proofErr w:type="spellStart"/>
      <w:r w:rsidRPr="003A52A5">
        <w:rPr>
          <w:rFonts w:cs="Arial"/>
          <w:sz w:val="22"/>
          <w:szCs w:val="22"/>
          <w:lang w:val="sl-SI"/>
        </w:rPr>
        <w:t>okoljske</w:t>
      </w:r>
      <w:proofErr w:type="spellEnd"/>
      <w:r w:rsidRPr="003A52A5">
        <w:rPr>
          <w:rFonts w:cs="Arial"/>
          <w:sz w:val="22"/>
          <w:szCs w:val="22"/>
          <w:lang w:val="sl-SI"/>
        </w:rPr>
        <w:t xml:space="preserve"> dajatve nastane, ko so odpadki (inertni, nenevarni, nevarni) odloženi na odlagališču. </w:t>
      </w:r>
      <w:r w:rsidR="00A22CEF">
        <w:rPr>
          <w:rFonts w:cs="Arial"/>
          <w:sz w:val="22"/>
          <w:szCs w:val="22"/>
          <w:lang w:val="sl-SI"/>
        </w:rPr>
        <w:t>Plačnik</w:t>
      </w:r>
      <w:r w:rsidRPr="003A52A5">
        <w:rPr>
          <w:rFonts w:cs="Arial"/>
          <w:sz w:val="22"/>
          <w:szCs w:val="22"/>
          <w:lang w:val="sl-SI"/>
        </w:rPr>
        <w:t xml:space="preserve"> </w:t>
      </w:r>
      <w:proofErr w:type="spellStart"/>
      <w:r w:rsidRPr="003A52A5">
        <w:rPr>
          <w:rFonts w:cs="Arial"/>
          <w:sz w:val="22"/>
          <w:szCs w:val="22"/>
          <w:lang w:val="sl-SI"/>
        </w:rPr>
        <w:t>okoljske</w:t>
      </w:r>
      <w:proofErr w:type="spellEnd"/>
      <w:r w:rsidRPr="003A52A5">
        <w:rPr>
          <w:rFonts w:cs="Arial"/>
          <w:sz w:val="22"/>
          <w:szCs w:val="22"/>
          <w:lang w:val="sl-SI"/>
        </w:rPr>
        <w:t xml:space="preserve"> dajatve za onesnaževanje okolja zaradi odlaganja odpadkov na odlagališču je upravljavec odlagališča. </w:t>
      </w:r>
    </w:p>
    <w:p w14:paraId="5B5D8289" w14:textId="77777777" w:rsidR="00BA4DF6" w:rsidRPr="003A52A5" w:rsidRDefault="00BA4DF6" w:rsidP="00EF735A">
      <w:pPr>
        <w:pStyle w:val="Telobesedila2"/>
        <w:spacing w:after="0" w:line="240" w:lineRule="auto"/>
        <w:jc w:val="both"/>
        <w:rPr>
          <w:rFonts w:cs="Arial"/>
          <w:sz w:val="22"/>
          <w:szCs w:val="22"/>
          <w:lang w:val="sl-SI"/>
        </w:rPr>
      </w:pPr>
    </w:p>
    <w:p w14:paraId="2D659923" w14:textId="77777777" w:rsidR="00122D32" w:rsidRPr="003A52A5" w:rsidRDefault="00122D32" w:rsidP="00EF735A">
      <w:pPr>
        <w:rPr>
          <w:rFonts w:cs="Arial"/>
          <w:szCs w:val="22"/>
        </w:rPr>
      </w:pPr>
      <w:r w:rsidRPr="003A52A5">
        <w:rPr>
          <w:rFonts w:cs="Arial"/>
          <w:szCs w:val="22"/>
        </w:rPr>
        <w:t>Pravna podlaga za obračun omenjene dajatve do sedaj je bil četrti odstavek 112. člena ZVO-1, v povezavi s tretjim odstavkom 7. člena Zakona o financiranju občin in prvim odstavkom 3. člena Zakona o carinski službi.</w:t>
      </w:r>
    </w:p>
    <w:p w14:paraId="2DB0A59D" w14:textId="77777777" w:rsidR="00122D32" w:rsidRPr="003A52A5" w:rsidRDefault="00122D32" w:rsidP="00EF735A">
      <w:pPr>
        <w:rPr>
          <w:rFonts w:cs="Arial"/>
          <w:szCs w:val="22"/>
        </w:rPr>
      </w:pPr>
    </w:p>
    <w:p w14:paraId="6CCE3FF7" w14:textId="3ECB1A21" w:rsidR="00DD0D38" w:rsidRDefault="00122D32" w:rsidP="00EF735A">
      <w:pPr>
        <w:pStyle w:val="Telobesedila2"/>
        <w:spacing w:after="0" w:line="240" w:lineRule="auto"/>
        <w:jc w:val="both"/>
        <w:rPr>
          <w:rFonts w:cs="Arial"/>
          <w:sz w:val="22"/>
          <w:szCs w:val="22"/>
          <w:lang w:val="sl-SI" w:eastAsia="sl-SI"/>
        </w:rPr>
      </w:pPr>
      <w:r w:rsidRPr="003A52A5">
        <w:rPr>
          <w:rFonts w:cs="Arial"/>
          <w:sz w:val="22"/>
          <w:szCs w:val="22"/>
          <w:lang w:val="sl-SI" w:eastAsia="sl-SI"/>
        </w:rPr>
        <w:t>Novi Zakon o varstvu okolja (Uradni list RS, št. 44/22; v nadaljnjem besedilu: ZVO-2) prinaša spremembo in sicer</w:t>
      </w:r>
      <w:r w:rsidR="00A607C7">
        <w:rPr>
          <w:rFonts w:cs="Arial"/>
          <w:sz w:val="22"/>
          <w:szCs w:val="22"/>
          <w:lang w:val="sl-SI" w:eastAsia="sl-SI"/>
        </w:rPr>
        <w:t xml:space="preserve"> določa, da</w:t>
      </w:r>
      <w:r w:rsidRPr="003A52A5">
        <w:rPr>
          <w:rFonts w:cs="Arial"/>
          <w:sz w:val="22"/>
          <w:szCs w:val="22"/>
          <w:lang w:val="sl-SI" w:eastAsia="sl-SI"/>
        </w:rPr>
        <w:t xml:space="preserve"> </w:t>
      </w:r>
      <w:r w:rsidRPr="00A607C7">
        <w:rPr>
          <w:rFonts w:cs="Arial"/>
          <w:sz w:val="22"/>
          <w:szCs w:val="22"/>
          <w:lang w:val="sl-SI" w:eastAsia="sl-SI"/>
        </w:rPr>
        <w:t>se s 1. januarjem 2022</w:t>
      </w:r>
      <w:r w:rsidRPr="003A52A5">
        <w:rPr>
          <w:rFonts w:cs="Arial"/>
          <w:sz w:val="22"/>
          <w:szCs w:val="22"/>
          <w:lang w:val="sl-SI" w:eastAsia="sl-SI"/>
        </w:rPr>
        <w:t xml:space="preserve"> glede </w:t>
      </w:r>
      <w:proofErr w:type="spellStart"/>
      <w:r w:rsidRPr="003A52A5">
        <w:rPr>
          <w:rFonts w:cs="Arial"/>
          <w:sz w:val="22"/>
          <w:szCs w:val="22"/>
          <w:lang w:val="sl-SI" w:eastAsia="sl-SI"/>
        </w:rPr>
        <w:t>okoljske</w:t>
      </w:r>
      <w:proofErr w:type="spellEnd"/>
      <w:r w:rsidRPr="003A52A5">
        <w:rPr>
          <w:rFonts w:cs="Arial"/>
          <w:sz w:val="22"/>
          <w:szCs w:val="22"/>
          <w:lang w:val="sl-SI" w:eastAsia="sl-SI"/>
        </w:rPr>
        <w:t xml:space="preserve"> dajatve za onesnaževanje okolja zaradi odlaganja odpadkov na odlagališčih odpadkov, ki so infrastruktura, namenjena izvajanju obvezne občinske gospodarske javne službe varstva okolja, preneha uporabljati tretji odstavek 7. člena Zakona o financiranju občin. </w:t>
      </w:r>
    </w:p>
    <w:p w14:paraId="3F78CEF5" w14:textId="77777777" w:rsidR="00DD0D38" w:rsidRDefault="00DD0D38" w:rsidP="00EF735A">
      <w:pPr>
        <w:pStyle w:val="Telobesedila2"/>
        <w:spacing w:after="0" w:line="240" w:lineRule="auto"/>
        <w:jc w:val="both"/>
        <w:rPr>
          <w:rFonts w:cs="Arial"/>
          <w:sz w:val="22"/>
          <w:szCs w:val="22"/>
          <w:lang w:val="sl-SI" w:eastAsia="sl-SI"/>
        </w:rPr>
      </w:pPr>
    </w:p>
    <w:p w14:paraId="18A859F5" w14:textId="77777777" w:rsidR="00BA4DF6" w:rsidRPr="003A52A5" w:rsidRDefault="00122D32" w:rsidP="00EF735A">
      <w:pPr>
        <w:pStyle w:val="Telobesedila2"/>
        <w:spacing w:after="0" w:line="240" w:lineRule="auto"/>
        <w:jc w:val="both"/>
        <w:rPr>
          <w:rFonts w:cs="Arial"/>
          <w:sz w:val="22"/>
          <w:szCs w:val="22"/>
          <w:lang w:val="sl-SI"/>
        </w:rPr>
      </w:pPr>
      <w:r w:rsidRPr="003A52A5">
        <w:rPr>
          <w:rFonts w:cs="Arial"/>
          <w:sz w:val="22"/>
          <w:szCs w:val="22"/>
          <w:lang w:val="sl-SI" w:eastAsia="sl-SI"/>
        </w:rPr>
        <w:t>Ta u</w:t>
      </w:r>
      <w:r w:rsidR="0000121D" w:rsidRPr="003A52A5">
        <w:rPr>
          <w:rFonts w:cs="Arial"/>
          <w:sz w:val="22"/>
          <w:szCs w:val="22"/>
          <w:lang w:val="sl-SI"/>
        </w:rPr>
        <w:t xml:space="preserve">redba </w:t>
      </w:r>
      <w:r w:rsidRPr="003A52A5">
        <w:rPr>
          <w:rFonts w:cs="Arial"/>
          <w:sz w:val="22"/>
          <w:szCs w:val="22"/>
          <w:lang w:val="sl-SI"/>
        </w:rPr>
        <w:t xml:space="preserve">torej </w:t>
      </w:r>
      <w:r w:rsidR="0000121D" w:rsidRPr="003A52A5">
        <w:rPr>
          <w:rFonts w:cs="Arial"/>
          <w:sz w:val="22"/>
          <w:szCs w:val="22"/>
          <w:lang w:val="sl-SI"/>
        </w:rPr>
        <w:t>ob upoštevanju drugega odstavka 320. člena ZVO-2 določa, da je p</w:t>
      </w:r>
      <w:r w:rsidR="00BA4DF6" w:rsidRPr="003A52A5">
        <w:rPr>
          <w:rFonts w:cs="Arial"/>
          <w:sz w:val="22"/>
          <w:szCs w:val="22"/>
          <w:lang w:val="sl-SI"/>
        </w:rPr>
        <w:t>rejemni</w:t>
      </w:r>
      <w:r w:rsidR="0000121D" w:rsidRPr="003A52A5">
        <w:rPr>
          <w:rFonts w:cs="Arial"/>
          <w:sz w:val="22"/>
          <w:szCs w:val="22"/>
          <w:lang w:val="sl-SI"/>
        </w:rPr>
        <w:t>k</w:t>
      </w:r>
      <w:r w:rsidR="00BA4DF6" w:rsidRPr="003A52A5">
        <w:rPr>
          <w:rFonts w:cs="Arial"/>
          <w:sz w:val="22"/>
          <w:szCs w:val="22"/>
          <w:lang w:val="sl-SI"/>
        </w:rPr>
        <w:t xml:space="preserve"> </w:t>
      </w:r>
      <w:proofErr w:type="spellStart"/>
      <w:r w:rsidR="00BA4DF6" w:rsidRPr="003A52A5">
        <w:rPr>
          <w:rFonts w:cs="Arial"/>
          <w:sz w:val="22"/>
          <w:szCs w:val="22"/>
          <w:lang w:val="sl-SI"/>
        </w:rPr>
        <w:t>okoljske</w:t>
      </w:r>
      <w:proofErr w:type="spellEnd"/>
      <w:r w:rsidR="00BA4DF6" w:rsidRPr="003A52A5">
        <w:rPr>
          <w:rFonts w:cs="Arial"/>
          <w:sz w:val="22"/>
          <w:szCs w:val="22"/>
          <w:lang w:val="sl-SI"/>
        </w:rPr>
        <w:t xml:space="preserve"> dajatve za onesnaževanje okolja zaradi odlaganja odpadkov </w:t>
      </w:r>
      <w:r w:rsidR="0000121D" w:rsidRPr="003A52A5">
        <w:rPr>
          <w:rFonts w:cs="Arial"/>
          <w:sz w:val="22"/>
          <w:szCs w:val="22"/>
          <w:lang w:val="sl-SI"/>
        </w:rPr>
        <w:t>tako na</w:t>
      </w:r>
      <w:r w:rsidR="00BA4DF6" w:rsidRPr="003A52A5">
        <w:rPr>
          <w:rFonts w:cs="Arial"/>
          <w:sz w:val="22"/>
          <w:szCs w:val="22"/>
          <w:lang w:val="sl-SI"/>
        </w:rPr>
        <w:t xml:space="preserve"> odlagališču, ki je infrastruktura, namenjena izvajanju obvezne gospodarske javne službe, </w:t>
      </w:r>
      <w:r w:rsidR="0000121D" w:rsidRPr="003A52A5">
        <w:rPr>
          <w:rFonts w:cs="Arial"/>
          <w:sz w:val="22"/>
          <w:szCs w:val="22"/>
          <w:lang w:val="sl-SI"/>
        </w:rPr>
        <w:t xml:space="preserve">kot na industrijskih odlagališčih (odlagališča, </w:t>
      </w:r>
      <w:r w:rsidR="00BA4DF6" w:rsidRPr="003A52A5">
        <w:rPr>
          <w:rFonts w:cs="Arial"/>
          <w:sz w:val="22"/>
          <w:szCs w:val="22"/>
          <w:lang w:val="sl-SI"/>
        </w:rPr>
        <w:t>ki ni</w:t>
      </w:r>
      <w:r w:rsidR="0000121D" w:rsidRPr="003A52A5">
        <w:rPr>
          <w:rFonts w:cs="Arial"/>
          <w:sz w:val="22"/>
          <w:szCs w:val="22"/>
          <w:lang w:val="sl-SI"/>
        </w:rPr>
        <w:t>so</w:t>
      </w:r>
      <w:r w:rsidR="00BA4DF6" w:rsidRPr="003A52A5">
        <w:rPr>
          <w:rFonts w:cs="Arial"/>
          <w:sz w:val="22"/>
          <w:szCs w:val="22"/>
          <w:lang w:val="sl-SI"/>
        </w:rPr>
        <w:t xml:space="preserve"> infrastruktura, namenjena izvajanju obvezne gospodarske javne službe</w:t>
      </w:r>
      <w:r w:rsidR="0000121D" w:rsidRPr="003A52A5">
        <w:rPr>
          <w:rFonts w:cs="Arial"/>
          <w:sz w:val="22"/>
          <w:szCs w:val="22"/>
          <w:lang w:val="sl-SI"/>
        </w:rPr>
        <w:t>)</w:t>
      </w:r>
      <w:r w:rsidR="00BA4DF6" w:rsidRPr="003A52A5">
        <w:rPr>
          <w:rFonts w:cs="Arial"/>
          <w:sz w:val="22"/>
          <w:szCs w:val="22"/>
          <w:lang w:val="sl-SI"/>
        </w:rPr>
        <w:t xml:space="preserve">, Republika Slovenija. </w:t>
      </w:r>
    </w:p>
    <w:p w14:paraId="0D8FD463" w14:textId="77777777" w:rsidR="00BA4DF6" w:rsidRPr="003A52A5" w:rsidRDefault="00BA4DF6" w:rsidP="00EF735A">
      <w:pPr>
        <w:pStyle w:val="Telobesedila2"/>
        <w:spacing w:after="0" w:line="240" w:lineRule="auto"/>
        <w:jc w:val="both"/>
        <w:rPr>
          <w:rFonts w:cs="Arial"/>
          <w:sz w:val="22"/>
          <w:szCs w:val="22"/>
          <w:lang w:val="sl-SI"/>
        </w:rPr>
      </w:pPr>
    </w:p>
    <w:p w14:paraId="61D39F46" w14:textId="77777777" w:rsidR="00BA4DF6" w:rsidRPr="003A52A5" w:rsidRDefault="00BA4DF6" w:rsidP="00EF735A">
      <w:pPr>
        <w:rPr>
          <w:rFonts w:cs="Arial"/>
          <w:szCs w:val="22"/>
        </w:rPr>
      </w:pPr>
      <w:r w:rsidRPr="003A52A5">
        <w:rPr>
          <w:rFonts w:cs="Arial"/>
          <w:color w:val="000000"/>
          <w:szCs w:val="22"/>
        </w:rPr>
        <w:t xml:space="preserve">Predlog </w:t>
      </w:r>
      <w:r w:rsidR="0000121D" w:rsidRPr="003A52A5">
        <w:rPr>
          <w:rFonts w:cs="Arial"/>
          <w:color w:val="000000"/>
          <w:szCs w:val="22"/>
        </w:rPr>
        <w:t xml:space="preserve">te uredbe </w:t>
      </w:r>
      <w:r w:rsidRPr="003A52A5">
        <w:rPr>
          <w:rFonts w:cs="Arial"/>
          <w:color w:val="000000"/>
          <w:szCs w:val="22"/>
        </w:rPr>
        <w:t xml:space="preserve">v primerjavi z veljavno </w:t>
      </w:r>
      <w:r w:rsidRPr="003A52A5">
        <w:rPr>
          <w:rFonts w:cs="Arial"/>
          <w:szCs w:val="22"/>
        </w:rPr>
        <w:t xml:space="preserve">Uredbo o </w:t>
      </w:r>
      <w:proofErr w:type="spellStart"/>
      <w:r w:rsidRPr="003A52A5">
        <w:rPr>
          <w:rFonts w:cs="Arial"/>
          <w:szCs w:val="22"/>
        </w:rPr>
        <w:t>okoljski</w:t>
      </w:r>
      <w:proofErr w:type="spellEnd"/>
      <w:r w:rsidRPr="003A52A5">
        <w:rPr>
          <w:rFonts w:cs="Arial"/>
          <w:szCs w:val="22"/>
        </w:rPr>
        <w:t xml:space="preserve"> dajatvi za onesnaževanje okolja zaradi odlaganja odpadkov na odlagališčih</w:t>
      </w:r>
      <w:r w:rsidRPr="003A52A5">
        <w:rPr>
          <w:rFonts w:cs="Arial"/>
          <w:color w:val="000000"/>
          <w:szCs w:val="22"/>
        </w:rPr>
        <w:t xml:space="preserve"> </w:t>
      </w:r>
      <w:r w:rsidR="0000121D" w:rsidRPr="003A52A5">
        <w:rPr>
          <w:rFonts w:cs="Arial"/>
          <w:color w:val="000000"/>
          <w:szCs w:val="22"/>
        </w:rPr>
        <w:t xml:space="preserve">Uredba o </w:t>
      </w:r>
      <w:proofErr w:type="spellStart"/>
      <w:r w:rsidR="0000121D" w:rsidRPr="003A52A5">
        <w:rPr>
          <w:rFonts w:cs="Arial"/>
          <w:color w:val="000000"/>
          <w:szCs w:val="22"/>
        </w:rPr>
        <w:t>okoljski</w:t>
      </w:r>
      <w:proofErr w:type="spellEnd"/>
      <w:r w:rsidR="0000121D" w:rsidRPr="003A52A5">
        <w:rPr>
          <w:rFonts w:cs="Arial"/>
          <w:color w:val="000000"/>
          <w:szCs w:val="22"/>
        </w:rPr>
        <w:t xml:space="preserve"> dajatvi za onesnaževanje okolja zaradi odlaganja odpadkov na odlagališčih (Uradni list RS, št. 14/14 in 44/22 – ZVO-2) </w:t>
      </w:r>
      <w:r w:rsidRPr="003A52A5">
        <w:rPr>
          <w:rFonts w:cs="Arial"/>
          <w:color w:val="000000"/>
          <w:szCs w:val="22"/>
        </w:rPr>
        <w:t>za subjekte ne prinaša novih administrativnih obremenitev, saj ne določa nobenih novih postopkov ali drugih obveznosti.</w:t>
      </w:r>
    </w:p>
    <w:p w14:paraId="0E921AF2" w14:textId="77777777" w:rsidR="00BA4DF6" w:rsidRPr="003A52A5" w:rsidRDefault="00BA4DF6" w:rsidP="00EF735A">
      <w:pPr>
        <w:pStyle w:val="Telobesedila2"/>
        <w:spacing w:after="0" w:line="240" w:lineRule="auto"/>
        <w:jc w:val="both"/>
        <w:rPr>
          <w:rFonts w:cs="Arial"/>
          <w:sz w:val="22"/>
          <w:szCs w:val="22"/>
          <w:lang w:val="sl-SI"/>
        </w:rPr>
      </w:pPr>
    </w:p>
    <w:p w14:paraId="16207994" w14:textId="3E6FFF59" w:rsidR="007D37F1" w:rsidRPr="003A52A5" w:rsidRDefault="0047607F" w:rsidP="00EF735A">
      <w:pPr>
        <w:rPr>
          <w:rFonts w:cs="Arial"/>
          <w:color w:val="000000"/>
          <w:szCs w:val="22"/>
        </w:rPr>
      </w:pPr>
      <w:r>
        <w:rPr>
          <w:rFonts w:cs="Arial"/>
          <w:color w:val="000000"/>
          <w:szCs w:val="22"/>
        </w:rPr>
        <w:t>V</w:t>
      </w:r>
      <w:r w:rsidRPr="003A52A5">
        <w:rPr>
          <w:rFonts w:cs="Arial"/>
          <w:color w:val="000000"/>
          <w:szCs w:val="22"/>
        </w:rPr>
        <w:t xml:space="preserve"> skladu s četrtim odstavkom 172. člena ZVO-2 mora </w:t>
      </w:r>
      <w:r>
        <w:rPr>
          <w:rFonts w:cs="Arial"/>
          <w:color w:val="000000"/>
          <w:szCs w:val="22"/>
        </w:rPr>
        <w:t xml:space="preserve">biti </w:t>
      </w:r>
      <w:r w:rsidRPr="003A52A5">
        <w:rPr>
          <w:rFonts w:cs="Arial"/>
          <w:color w:val="000000"/>
          <w:szCs w:val="22"/>
        </w:rPr>
        <w:t xml:space="preserve">višina </w:t>
      </w:r>
      <w:proofErr w:type="spellStart"/>
      <w:r w:rsidRPr="003A52A5">
        <w:rPr>
          <w:rFonts w:cs="Arial"/>
          <w:color w:val="000000"/>
          <w:szCs w:val="22"/>
        </w:rPr>
        <w:t>okoljske</w:t>
      </w:r>
      <w:proofErr w:type="spellEnd"/>
      <w:r w:rsidRPr="003A52A5">
        <w:rPr>
          <w:rFonts w:cs="Arial"/>
          <w:color w:val="000000"/>
          <w:szCs w:val="22"/>
        </w:rPr>
        <w:t xml:space="preserve"> dajatev enaka ali sorazmerna mejnim stroškom onesnaževanja</w:t>
      </w:r>
      <w:r>
        <w:rPr>
          <w:rFonts w:cs="Arial"/>
          <w:color w:val="000000"/>
          <w:szCs w:val="22"/>
        </w:rPr>
        <w:t xml:space="preserve">. </w:t>
      </w:r>
      <w:r w:rsidR="00C44C0C">
        <w:rPr>
          <w:rFonts w:cs="Arial"/>
          <w:color w:val="000000"/>
          <w:szCs w:val="22"/>
        </w:rPr>
        <w:t xml:space="preserve">Za Slovenijo natančnih izračunov glede teh stroškov nimamo, dejstvo pa je, da </w:t>
      </w:r>
      <w:r w:rsidRPr="00C44C0C">
        <w:rPr>
          <w:rFonts w:cs="Arial"/>
          <w:color w:val="000000"/>
          <w:szCs w:val="22"/>
        </w:rPr>
        <w:t xml:space="preserve">višina </w:t>
      </w:r>
      <w:proofErr w:type="spellStart"/>
      <w:r w:rsidRPr="00C44C0C">
        <w:rPr>
          <w:rFonts w:cs="Arial"/>
          <w:color w:val="000000"/>
          <w:szCs w:val="22"/>
        </w:rPr>
        <w:t>okoljske</w:t>
      </w:r>
      <w:proofErr w:type="spellEnd"/>
      <w:r w:rsidRPr="00C44C0C">
        <w:rPr>
          <w:rFonts w:cs="Arial"/>
          <w:color w:val="000000"/>
          <w:szCs w:val="22"/>
        </w:rPr>
        <w:t xml:space="preserve"> dajatve </w:t>
      </w:r>
      <w:r w:rsidR="00C44C0C">
        <w:rPr>
          <w:rFonts w:cs="Arial"/>
          <w:color w:val="000000"/>
          <w:szCs w:val="22"/>
        </w:rPr>
        <w:t>pri nas opazno</w:t>
      </w:r>
      <w:r w:rsidRPr="00C44C0C">
        <w:rPr>
          <w:rFonts w:cs="Arial"/>
          <w:color w:val="000000"/>
          <w:szCs w:val="22"/>
        </w:rPr>
        <w:t xml:space="preserve"> odstopa od višine </w:t>
      </w:r>
      <w:proofErr w:type="spellStart"/>
      <w:r w:rsidRPr="00C44C0C">
        <w:rPr>
          <w:rFonts w:cs="Arial"/>
          <w:color w:val="000000"/>
          <w:szCs w:val="22"/>
        </w:rPr>
        <w:t>okoljske</w:t>
      </w:r>
      <w:proofErr w:type="spellEnd"/>
      <w:r w:rsidRPr="00C44C0C">
        <w:rPr>
          <w:rFonts w:cs="Arial"/>
          <w:color w:val="000000"/>
          <w:szCs w:val="22"/>
        </w:rPr>
        <w:t xml:space="preserve"> dajatve v večini držav članic EU</w:t>
      </w:r>
      <w:r w:rsidR="008F2DDA">
        <w:rPr>
          <w:rFonts w:cs="Arial"/>
          <w:color w:val="000000"/>
          <w:szCs w:val="22"/>
        </w:rPr>
        <w:t>,</w:t>
      </w:r>
      <w:r w:rsidRPr="00C44C0C">
        <w:rPr>
          <w:rFonts w:cs="Arial"/>
          <w:color w:val="000000"/>
          <w:szCs w:val="22"/>
        </w:rPr>
        <w:t xml:space="preserve"> na kar sta nas opozorili tako Komisija kot OECD</w:t>
      </w:r>
      <w:r w:rsidR="00C44C0C">
        <w:rPr>
          <w:rFonts w:cs="Arial"/>
          <w:color w:val="000000"/>
          <w:szCs w:val="22"/>
        </w:rPr>
        <w:t>. Zato</w:t>
      </w:r>
      <w:r w:rsidRPr="00C44C0C">
        <w:rPr>
          <w:rFonts w:cs="Arial"/>
          <w:color w:val="000000"/>
          <w:szCs w:val="22"/>
        </w:rPr>
        <w:t xml:space="preserve"> </w:t>
      </w:r>
      <w:r w:rsidR="00C44C0C">
        <w:rPr>
          <w:rFonts w:cs="Arial"/>
          <w:color w:val="000000"/>
          <w:szCs w:val="22"/>
        </w:rPr>
        <w:t xml:space="preserve">se </w:t>
      </w:r>
      <w:r w:rsidRPr="00C44C0C">
        <w:rPr>
          <w:rFonts w:cs="Arial"/>
          <w:color w:val="000000"/>
          <w:szCs w:val="22"/>
        </w:rPr>
        <w:t>s</w:t>
      </w:r>
      <w:r w:rsidR="007D37F1" w:rsidRPr="00C44C0C">
        <w:rPr>
          <w:rFonts w:cs="Arial"/>
          <w:color w:val="000000"/>
          <w:szCs w:val="22"/>
        </w:rPr>
        <w:t xml:space="preserve"> to uredbo </w:t>
      </w:r>
      <w:r w:rsidRPr="00C44C0C">
        <w:rPr>
          <w:rFonts w:cs="Arial"/>
          <w:color w:val="000000"/>
          <w:szCs w:val="22"/>
        </w:rPr>
        <w:t xml:space="preserve">uvaja postopno zvišanje zneska na enoto obremenitve in sicer </w:t>
      </w:r>
      <w:r w:rsidR="007D37F1" w:rsidRPr="00C44C0C">
        <w:rPr>
          <w:rFonts w:cs="Arial"/>
          <w:color w:val="000000"/>
          <w:szCs w:val="22"/>
        </w:rPr>
        <w:t xml:space="preserve">se </w:t>
      </w:r>
      <w:r w:rsidR="0044208E" w:rsidRPr="00C44C0C">
        <w:rPr>
          <w:rFonts w:cs="Arial"/>
          <w:color w:val="000000"/>
          <w:szCs w:val="22"/>
        </w:rPr>
        <w:t xml:space="preserve">s 1. </w:t>
      </w:r>
      <w:r w:rsidR="00DD0D38" w:rsidRPr="00C44C0C">
        <w:rPr>
          <w:rFonts w:cs="Arial"/>
          <w:color w:val="000000"/>
          <w:szCs w:val="22"/>
        </w:rPr>
        <w:t>januarjem</w:t>
      </w:r>
      <w:r w:rsidR="0044208E" w:rsidRPr="00C44C0C">
        <w:rPr>
          <w:rFonts w:cs="Arial"/>
          <w:color w:val="000000"/>
          <w:szCs w:val="22"/>
        </w:rPr>
        <w:t xml:space="preserve"> 2023 </w:t>
      </w:r>
      <w:r w:rsidR="007D37F1" w:rsidRPr="00C44C0C">
        <w:rPr>
          <w:rFonts w:cs="Arial"/>
          <w:color w:val="000000"/>
          <w:szCs w:val="22"/>
        </w:rPr>
        <w:t xml:space="preserve">spreminja znesek za enoto obremenitve z 0,0022 eura na </w:t>
      </w:r>
      <w:r w:rsidR="0044208E" w:rsidRPr="00C44C0C">
        <w:rPr>
          <w:rFonts w:cs="Arial"/>
          <w:color w:val="000000"/>
          <w:szCs w:val="22"/>
        </w:rPr>
        <w:t>0,005</w:t>
      </w:r>
      <w:r w:rsidR="007D37F1" w:rsidRPr="00C44C0C">
        <w:rPr>
          <w:rFonts w:cs="Arial"/>
          <w:color w:val="000000"/>
          <w:szCs w:val="22"/>
        </w:rPr>
        <w:t xml:space="preserve"> </w:t>
      </w:r>
      <w:r w:rsidR="00DD0D38" w:rsidRPr="00C44C0C">
        <w:rPr>
          <w:rFonts w:cs="Arial"/>
          <w:color w:val="000000"/>
          <w:szCs w:val="22"/>
        </w:rPr>
        <w:t>€</w:t>
      </w:r>
      <w:r w:rsidR="0044208E" w:rsidRPr="00C44C0C">
        <w:rPr>
          <w:rFonts w:cs="Arial"/>
          <w:color w:val="000000"/>
          <w:szCs w:val="22"/>
        </w:rPr>
        <w:t xml:space="preserve">/kg odloženih odpadkov </w:t>
      </w:r>
      <w:r w:rsidRPr="00C44C0C">
        <w:rPr>
          <w:rFonts w:cs="Arial"/>
          <w:color w:val="000000"/>
          <w:szCs w:val="22"/>
        </w:rPr>
        <w:t xml:space="preserve">ter </w:t>
      </w:r>
      <w:r w:rsidR="0044208E" w:rsidRPr="00C44C0C">
        <w:rPr>
          <w:rFonts w:cs="Arial"/>
          <w:color w:val="000000"/>
          <w:szCs w:val="22"/>
        </w:rPr>
        <w:t>s 1. 1. 202</w:t>
      </w:r>
      <w:r w:rsidR="00DD0D38" w:rsidRPr="00C44C0C">
        <w:rPr>
          <w:rFonts w:cs="Arial"/>
          <w:color w:val="000000"/>
          <w:szCs w:val="22"/>
        </w:rPr>
        <w:t>8</w:t>
      </w:r>
      <w:r w:rsidR="0044208E" w:rsidRPr="00C44C0C">
        <w:rPr>
          <w:rFonts w:cs="Arial"/>
          <w:color w:val="000000"/>
          <w:szCs w:val="22"/>
        </w:rPr>
        <w:t xml:space="preserve"> pa na 0,0</w:t>
      </w:r>
      <w:r w:rsidR="00DD0D38" w:rsidRPr="00C44C0C">
        <w:rPr>
          <w:rFonts w:cs="Arial"/>
          <w:color w:val="000000"/>
          <w:szCs w:val="22"/>
        </w:rPr>
        <w:t>08</w:t>
      </w:r>
      <w:r w:rsidR="0044208E" w:rsidRPr="00C44C0C">
        <w:rPr>
          <w:rFonts w:cs="Arial"/>
          <w:color w:val="000000"/>
          <w:szCs w:val="22"/>
        </w:rPr>
        <w:t xml:space="preserve"> </w:t>
      </w:r>
      <w:r w:rsidR="00DD0D38" w:rsidRPr="00C44C0C">
        <w:rPr>
          <w:rFonts w:cs="Arial"/>
          <w:color w:val="000000"/>
          <w:szCs w:val="22"/>
        </w:rPr>
        <w:t>€</w:t>
      </w:r>
      <w:r w:rsidR="0044208E" w:rsidRPr="00C44C0C">
        <w:rPr>
          <w:rFonts w:cs="Arial"/>
          <w:color w:val="000000"/>
          <w:szCs w:val="22"/>
        </w:rPr>
        <w:t>/kg odloženih odpadkov</w:t>
      </w:r>
      <w:r w:rsidRPr="00C44C0C">
        <w:rPr>
          <w:rFonts w:cs="Arial"/>
          <w:color w:val="000000"/>
          <w:szCs w:val="22"/>
        </w:rPr>
        <w:t>.</w:t>
      </w:r>
    </w:p>
    <w:p w14:paraId="76E4D710" w14:textId="77777777" w:rsidR="007D37F1" w:rsidRPr="003A52A5" w:rsidRDefault="007D37F1" w:rsidP="00EF735A">
      <w:pPr>
        <w:rPr>
          <w:rFonts w:cs="Arial"/>
          <w:color w:val="000000"/>
          <w:szCs w:val="22"/>
        </w:rPr>
      </w:pPr>
    </w:p>
    <w:p w14:paraId="441B78C6" w14:textId="77777777" w:rsidR="007D37F1" w:rsidRPr="003A52A5" w:rsidRDefault="00122D32" w:rsidP="00EF735A">
      <w:pPr>
        <w:rPr>
          <w:rFonts w:cs="Arial"/>
        </w:rPr>
      </w:pPr>
      <w:r w:rsidRPr="003A52A5">
        <w:rPr>
          <w:rFonts w:cs="Arial"/>
          <w:u w:val="single"/>
        </w:rPr>
        <w:t>Stanje v državah EU:</w:t>
      </w:r>
      <w:r w:rsidRPr="003A52A5">
        <w:rPr>
          <w:rFonts w:cs="Arial"/>
        </w:rPr>
        <w:t xml:space="preserve"> </w:t>
      </w:r>
      <w:r w:rsidR="002D2FF7" w:rsidRPr="003A52A5">
        <w:rPr>
          <w:rFonts w:cs="Arial"/>
        </w:rPr>
        <w:t xml:space="preserve">V skladu s hierarhijo ravnanja z odpadki je odlaganje odpadkov na odlagališčih najmanj zaželeno. </w:t>
      </w:r>
      <w:r w:rsidR="007D37F1" w:rsidRPr="003A52A5">
        <w:rPr>
          <w:rFonts w:cs="Arial"/>
        </w:rPr>
        <w:t xml:space="preserve">Najpogostejši </w:t>
      </w:r>
      <w:proofErr w:type="spellStart"/>
      <w:r w:rsidR="007D37F1" w:rsidRPr="003A52A5">
        <w:rPr>
          <w:rFonts w:cs="Arial"/>
        </w:rPr>
        <w:t>okoljski</w:t>
      </w:r>
      <w:proofErr w:type="spellEnd"/>
      <w:r w:rsidR="007D37F1" w:rsidRPr="003A52A5">
        <w:rPr>
          <w:rFonts w:cs="Arial"/>
        </w:rPr>
        <w:t xml:space="preserve"> davek v EU, ki se nanaša na rabo naravnih virov, je dajatev na odlaganje odpadkov, katerega namen je spodbuditi povzročitelje odpadkov, da zmanjšujejo količino nastajanja odpadkov, namenjenih odlaganju na odlagališčih, in pridobijo več vrednosti iz odpadkov z recikliranjem. Navadno se dajatev nanaša na vrste odpadkov (npr. nevarni, nenevarni) in se obračuna po masi.</w:t>
      </w:r>
      <w:r w:rsidR="002D2FF7" w:rsidRPr="003A52A5">
        <w:rPr>
          <w:rFonts w:cs="Arial"/>
        </w:rPr>
        <w:t xml:space="preserve"> </w:t>
      </w:r>
    </w:p>
    <w:p w14:paraId="6CF5166C" w14:textId="77777777" w:rsidR="00477EE4" w:rsidRPr="003A52A5" w:rsidRDefault="00477EE4" w:rsidP="00EF735A">
      <w:pPr>
        <w:rPr>
          <w:rFonts w:cs="Arial"/>
        </w:rPr>
      </w:pPr>
    </w:p>
    <w:p w14:paraId="116A2CEA" w14:textId="07042B74" w:rsidR="00477EE4" w:rsidRPr="003A52A5" w:rsidRDefault="00477EE4" w:rsidP="00EF735A">
      <w:pPr>
        <w:rPr>
          <w:rFonts w:cs="Arial"/>
        </w:rPr>
      </w:pPr>
      <w:r w:rsidRPr="003A52A5">
        <w:rPr>
          <w:rFonts w:cs="Arial"/>
        </w:rPr>
        <w:t xml:space="preserve">Poleg prepovedi odlaganja določenih vrst odpadkov na odlagališčih v skladu z zahtevami Direktive 1999/31/ES za preusmeritev odpadkov z odlagališč večina držav članic EU (23) uporablja tudi obliko davka na odlaganje odpadkov na odlagališča. Take države </w:t>
      </w:r>
      <w:r w:rsidRPr="003A52A5">
        <w:rPr>
          <w:rFonts w:cs="Arial"/>
        </w:rPr>
        <w:lastRenderedPageBreak/>
        <w:t xml:space="preserve">so Avstrija, Belgija, Bolgarija, Češka, Danska, Estonija, Finska, Francija, Madžarska, Grčija, Irska, Italija, Latvija, Litva, Luksemburg, Nizozemska, Poljska, Portugalska, Romunija, Slovaška, Slovenija, Španija, Švedska), 4 države članice pa takega davka nimajo (Ciper, Hrvaška, Nemčija in Malta). Najnovejši podatki (leto 2021) kažejo, da se višina </w:t>
      </w:r>
      <w:proofErr w:type="spellStart"/>
      <w:r w:rsidRPr="003A52A5">
        <w:rPr>
          <w:rFonts w:cs="Arial"/>
        </w:rPr>
        <w:t>okoljskega</w:t>
      </w:r>
      <w:proofErr w:type="spellEnd"/>
      <w:r w:rsidRPr="003A52A5">
        <w:rPr>
          <w:rFonts w:cs="Arial"/>
        </w:rPr>
        <w:t xml:space="preserve"> davka na odlaganje odpadkov (za nenevarne odpadke) giblje od 5 EUR/t (Litva) do 108 EUR/t (Belgija)</w:t>
      </w:r>
      <w:r w:rsidR="008328E9">
        <w:rPr>
          <w:rFonts w:cs="Arial"/>
        </w:rPr>
        <w:t xml:space="preserve"> (vir: </w:t>
      </w:r>
      <w:r w:rsidR="008328E9" w:rsidRPr="008328E9">
        <w:rPr>
          <w:rFonts w:cs="Arial"/>
        </w:rPr>
        <w:t xml:space="preserve">  https://www.cewep.eu/wp-content/uploads/2021/08/Landfill-taxes-and-bans-overview.pdf</w:t>
      </w:r>
      <w:r w:rsidR="008328E9">
        <w:rPr>
          <w:rFonts w:cs="Arial"/>
        </w:rPr>
        <w:t>)</w:t>
      </w:r>
      <w:r w:rsidRPr="003A52A5">
        <w:rPr>
          <w:rFonts w:cs="Arial"/>
        </w:rPr>
        <w:t>.</w:t>
      </w:r>
    </w:p>
    <w:p w14:paraId="3149D444" w14:textId="77777777" w:rsidR="00477EE4" w:rsidRPr="003A52A5" w:rsidRDefault="00477EE4" w:rsidP="00EF735A">
      <w:pPr>
        <w:rPr>
          <w:rFonts w:cs="Arial"/>
        </w:rPr>
      </w:pPr>
    </w:p>
    <w:p w14:paraId="78610493" w14:textId="77777777" w:rsidR="007D37F1" w:rsidRPr="003A52A5" w:rsidRDefault="00477EE4" w:rsidP="00EF735A">
      <w:pPr>
        <w:rPr>
          <w:rFonts w:cs="Arial"/>
        </w:rPr>
      </w:pPr>
      <w:r w:rsidRPr="003A52A5">
        <w:rPr>
          <w:rFonts w:cs="Arial"/>
        </w:rPr>
        <w:t xml:space="preserve">Višina </w:t>
      </w:r>
      <w:proofErr w:type="spellStart"/>
      <w:r w:rsidRPr="003A52A5">
        <w:rPr>
          <w:rFonts w:cs="Arial"/>
        </w:rPr>
        <w:t>okoljskega</w:t>
      </w:r>
      <w:proofErr w:type="spellEnd"/>
      <w:r w:rsidRPr="003A52A5">
        <w:rPr>
          <w:rFonts w:cs="Arial"/>
        </w:rPr>
        <w:t xml:space="preserve"> davka na odlaganje </w:t>
      </w:r>
      <w:r w:rsidR="00B3476E" w:rsidRPr="003A52A5">
        <w:rPr>
          <w:rFonts w:cs="Arial"/>
        </w:rPr>
        <w:t xml:space="preserve">nenevarnih </w:t>
      </w:r>
      <w:r w:rsidRPr="003A52A5">
        <w:rPr>
          <w:rFonts w:cs="Arial"/>
        </w:rPr>
        <w:t>odpadkov v letu 2017 v državah EU (EUR/t) (vir: Statista, 2021):</w:t>
      </w:r>
    </w:p>
    <w:p w14:paraId="3CF96D5E" w14:textId="74B47B95" w:rsidR="007D37F1" w:rsidRPr="003A52A5" w:rsidRDefault="003A2004" w:rsidP="00EF735A">
      <w:pPr>
        <w:pStyle w:val="Brezrazmikov"/>
        <w:jc w:val="center"/>
        <w:rPr>
          <w:rFonts w:ascii="Arial" w:hAnsi="Arial" w:cs="Arial"/>
        </w:rPr>
      </w:pPr>
      <w:r w:rsidRPr="003A52A5">
        <w:rPr>
          <w:rFonts w:ascii="Arial" w:hAnsi="Arial" w:cs="Arial"/>
          <w:noProof/>
          <w:lang w:eastAsia="sl-SI"/>
        </w:rPr>
        <w:drawing>
          <wp:inline distT="0" distB="0" distL="0" distR="0" wp14:anchorId="3824050A" wp14:editId="1CEABF2A">
            <wp:extent cx="4692650" cy="2837815"/>
            <wp:effectExtent l="0" t="0" r="0" b="0"/>
            <wp:docPr id="1" name="Slika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0" cy="2837815"/>
                    </a:xfrm>
                    <a:prstGeom prst="rect">
                      <a:avLst/>
                    </a:prstGeom>
                    <a:noFill/>
                    <a:ln>
                      <a:noFill/>
                    </a:ln>
                  </pic:spPr>
                </pic:pic>
              </a:graphicData>
            </a:graphic>
          </wp:inline>
        </w:drawing>
      </w:r>
    </w:p>
    <w:p w14:paraId="47E593A1" w14:textId="77777777" w:rsidR="007D37F1" w:rsidRPr="003A52A5" w:rsidRDefault="007D37F1" w:rsidP="00EF735A">
      <w:pPr>
        <w:rPr>
          <w:rFonts w:cs="Arial"/>
        </w:rPr>
      </w:pPr>
    </w:p>
    <w:p w14:paraId="4D5D5138" w14:textId="77777777" w:rsidR="007D37F1" w:rsidRPr="003A52A5" w:rsidRDefault="007D37F1" w:rsidP="00EF735A">
      <w:pPr>
        <w:rPr>
          <w:rFonts w:cs="Arial"/>
        </w:rPr>
      </w:pPr>
      <w:r w:rsidRPr="003A52A5">
        <w:rPr>
          <w:rFonts w:cs="Arial"/>
        </w:rPr>
        <w:t xml:space="preserve">Če je namen dajatve na odlaganje odpadkov odvračati odpadke od odlaganja na odlagališčih, mora biti stopnja te dajatve tako visoka, da pokrije razliko med stroški odlaganja na odlagališčih in stroški drugih ustreznejših načinov obdelave odpadkov, pri čemer je treba poleg obratovalnih stroškov obdelave upoštevati tudi zunanje </w:t>
      </w:r>
      <w:proofErr w:type="spellStart"/>
      <w:r w:rsidRPr="003A52A5">
        <w:rPr>
          <w:rFonts w:cs="Arial"/>
        </w:rPr>
        <w:t>okoljske</w:t>
      </w:r>
      <w:proofErr w:type="spellEnd"/>
      <w:r w:rsidRPr="003A52A5">
        <w:rPr>
          <w:rFonts w:cs="Arial"/>
        </w:rPr>
        <w:t xml:space="preserve"> stroške, ki jih povzroča posamezen način obdelave odpadkov. Trenutna višina zaračunane </w:t>
      </w:r>
      <w:proofErr w:type="spellStart"/>
      <w:r w:rsidRPr="003A52A5">
        <w:rPr>
          <w:rFonts w:cs="Arial"/>
        </w:rPr>
        <w:t>okoljske</w:t>
      </w:r>
      <w:proofErr w:type="spellEnd"/>
      <w:r w:rsidRPr="003A52A5">
        <w:rPr>
          <w:rFonts w:cs="Arial"/>
        </w:rPr>
        <w:t xml:space="preserve"> dajatve za onesnaževanje okolja zaradi odlaganja odpadkov na odlagališčih</w:t>
      </w:r>
      <w:r w:rsidR="00122D32" w:rsidRPr="003A52A5">
        <w:rPr>
          <w:rFonts w:cs="Arial"/>
        </w:rPr>
        <w:t xml:space="preserve"> v Republiki Sloveniji</w:t>
      </w:r>
      <w:r w:rsidRPr="003A52A5">
        <w:rPr>
          <w:rFonts w:cs="Arial"/>
        </w:rPr>
        <w:t xml:space="preserve"> je</w:t>
      </w:r>
      <w:r w:rsidR="0044208E" w:rsidRPr="003A52A5">
        <w:rPr>
          <w:rFonts w:cs="Arial"/>
        </w:rPr>
        <w:t xml:space="preserve"> z</w:t>
      </w:r>
      <w:r w:rsidRPr="003A52A5">
        <w:rPr>
          <w:rFonts w:cs="Arial"/>
        </w:rPr>
        <w:t>a tono odloženega nenevarnega odpadka 11 EUR (tudi komunalni odpadki)</w:t>
      </w:r>
      <w:r w:rsidR="0044208E" w:rsidRPr="003A52A5">
        <w:rPr>
          <w:rFonts w:cs="Arial"/>
        </w:rPr>
        <w:t xml:space="preserve">, kar nas uvršča med EU države z najnižjo višino </w:t>
      </w:r>
      <w:proofErr w:type="spellStart"/>
      <w:r w:rsidR="0044208E" w:rsidRPr="003A52A5">
        <w:rPr>
          <w:rFonts w:cs="Arial"/>
        </w:rPr>
        <w:t>okoljske</w:t>
      </w:r>
      <w:proofErr w:type="spellEnd"/>
      <w:r w:rsidR="0044208E" w:rsidRPr="003A52A5">
        <w:rPr>
          <w:rFonts w:cs="Arial"/>
        </w:rPr>
        <w:t xml:space="preserve"> dajatve za odlaganje odpadkov, ta znesek pa nikakor ni sorazmeren mejnim stroškom odlaganja odpadkov</w:t>
      </w:r>
      <w:r w:rsidRPr="003A52A5">
        <w:rPr>
          <w:rFonts w:cs="Arial"/>
        </w:rPr>
        <w:t>.</w:t>
      </w:r>
    </w:p>
    <w:p w14:paraId="6AB3CEB5" w14:textId="77777777" w:rsidR="008328E9" w:rsidRDefault="008328E9" w:rsidP="00EF735A">
      <w:pPr>
        <w:pStyle w:val="Napis"/>
        <w:tabs>
          <w:tab w:val="clear" w:pos="851"/>
          <w:tab w:val="left" w:pos="0"/>
        </w:tabs>
        <w:spacing w:before="0"/>
        <w:ind w:left="0" w:firstLine="0"/>
        <w:rPr>
          <w:rFonts w:ascii="Arial" w:hAnsi="Arial"/>
        </w:rPr>
      </w:pPr>
      <w:bookmarkStart w:id="1" w:name="_Toc75260454"/>
      <w:bookmarkStart w:id="2" w:name="_Toc75334651"/>
      <w:bookmarkStart w:id="3" w:name="_Toc79148210"/>
      <w:bookmarkStart w:id="4" w:name="_Toc100058034"/>
    </w:p>
    <w:p w14:paraId="1001A0FF" w14:textId="4603C241" w:rsidR="007D37F1" w:rsidRDefault="007D37F1" w:rsidP="008328E9">
      <w:pPr>
        <w:pStyle w:val="Napis"/>
        <w:tabs>
          <w:tab w:val="clear" w:pos="851"/>
          <w:tab w:val="left" w:pos="0"/>
        </w:tabs>
        <w:spacing w:before="0"/>
        <w:ind w:left="0" w:firstLine="0"/>
        <w:jc w:val="both"/>
        <w:rPr>
          <w:rFonts w:ascii="Arial" w:hAnsi="Arial"/>
        </w:rPr>
      </w:pPr>
      <w:r w:rsidRPr="003A52A5">
        <w:rPr>
          <w:rFonts w:ascii="Arial" w:hAnsi="Arial"/>
        </w:rPr>
        <w:t>Podatki o pobrani okoljski dajatvi za onesnaževanje okolja zaradi odlaganja odpadkov na odlagališčih, EUR (vir: FURS, MF)</w:t>
      </w:r>
      <w:bookmarkEnd w:id="1"/>
      <w:bookmarkEnd w:id="2"/>
      <w:bookmarkEnd w:id="3"/>
      <w:bookmarkEnd w:id="4"/>
      <w:r w:rsidR="004A4904" w:rsidRPr="003A52A5">
        <w:rPr>
          <w:rFonts w:ascii="Arial" w:hAnsi="Arial"/>
        </w:rPr>
        <w:t>:</w:t>
      </w:r>
    </w:p>
    <w:p w14:paraId="19400B89" w14:textId="77777777" w:rsidR="008328E9" w:rsidRPr="008328E9" w:rsidRDefault="008328E9" w:rsidP="008328E9">
      <w:pPr>
        <w:rPr>
          <w:lang w:eastAsia="en-US"/>
        </w:rPr>
      </w:pPr>
    </w:p>
    <w:tbl>
      <w:tblPr>
        <w:tblW w:w="8856" w:type="dxa"/>
        <w:tblInd w:w="55" w:type="dxa"/>
        <w:tblCellMar>
          <w:left w:w="70" w:type="dxa"/>
          <w:right w:w="70" w:type="dxa"/>
        </w:tblCellMar>
        <w:tblLook w:val="04A0" w:firstRow="1" w:lastRow="0" w:firstColumn="1" w:lastColumn="0" w:noHBand="0" w:noVBand="1"/>
      </w:tblPr>
      <w:tblGrid>
        <w:gridCol w:w="1858"/>
        <w:gridCol w:w="1041"/>
        <w:gridCol w:w="1041"/>
        <w:gridCol w:w="941"/>
        <w:gridCol w:w="941"/>
        <w:gridCol w:w="941"/>
        <w:gridCol w:w="941"/>
        <w:gridCol w:w="991"/>
        <w:gridCol w:w="161"/>
      </w:tblGrid>
      <w:tr w:rsidR="00A96503" w:rsidRPr="003A52A5" w14:paraId="34D71830" w14:textId="77777777" w:rsidTr="00A96503">
        <w:trPr>
          <w:trHeight w:val="300"/>
        </w:trPr>
        <w:tc>
          <w:tcPr>
            <w:tcW w:w="1858" w:type="dxa"/>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298A0D56" w14:textId="77777777" w:rsidR="00A96503" w:rsidRPr="003A52A5" w:rsidRDefault="00A96503" w:rsidP="00EF735A">
            <w:pPr>
              <w:jc w:val="left"/>
              <w:rPr>
                <w:rFonts w:cs="Arial"/>
                <w:b/>
                <w:bCs/>
                <w:color w:val="000000"/>
                <w:sz w:val="18"/>
                <w:szCs w:val="18"/>
              </w:rPr>
            </w:pPr>
            <w:r w:rsidRPr="003A52A5">
              <w:rPr>
                <w:rFonts w:cs="Arial"/>
                <w:b/>
                <w:bCs/>
                <w:color w:val="000000"/>
                <w:sz w:val="18"/>
                <w:szCs w:val="18"/>
              </w:rPr>
              <w:t>PRIHODKI</w:t>
            </w:r>
          </w:p>
        </w:tc>
        <w:tc>
          <w:tcPr>
            <w:tcW w:w="1041" w:type="dxa"/>
            <w:tcBorders>
              <w:top w:val="single" w:sz="4" w:space="0" w:color="auto"/>
              <w:left w:val="nil"/>
              <w:bottom w:val="single" w:sz="4" w:space="0" w:color="auto"/>
              <w:right w:val="single" w:sz="4" w:space="0" w:color="auto"/>
            </w:tcBorders>
            <w:shd w:val="clear" w:color="auto" w:fill="D5DCE4"/>
            <w:vAlign w:val="center"/>
            <w:hideMark/>
          </w:tcPr>
          <w:p w14:paraId="302E66A6" w14:textId="77777777" w:rsidR="00A96503" w:rsidRPr="003A52A5" w:rsidRDefault="00A96503" w:rsidP="00EF735A">
            <w:pPr>
              <w:jc w:val="center"/>
              <w:rPr>
                <w:rFonts w:cs="Arial"/>
                <w:b/>
                <w:bCs/>
                <w:sz w:val="18"/>
                <w:szCs w:val="18"/>
              </w:rPr>
            </w:pPr>
            <w:r w:rsidRPr="003A52A5">
              <w:rPr>
                <w:rFonts w:cs="Arial"/>
                <w:b/>
                <w:bCs/>
                <w:sz w:val="18"/>
                <w:szCs w:val="18"/>
              </w:rPr>
              <w:t>2008</w:t>
            </w:r>
          </w:p>
        </w:tc>
        <w:tc>
          <w:tcPr>
            <w:tcW w:w="1041" w:type="dxa"/>
            <w:tcBorders>
              <w:top w:val="single" w:sz="4" w:space="0" w:color="auto"/>
              <w:left w:val="nil"/>
              <w:bottom w:val="single" w:sz="4" w:space="0" w:color="auto"/>
              <w:right w:val="single" w:sz="4" w:space="0" w:color="auto"/>
            </w:tcBorders>
            <w:shd w:val="clear" w:color="auto" w:fill="D5DCE4"/>
            <w:vAlign w:val="center"/>
            <w:hideMark/>
          </w:tcPr>
          <w:p w14:paraId="7F24AFF0" w14:textId="77777777" w:rsidR="00A96503" w:rsidRPr="003A52A5" w:rsidRDefault="00A96503" w:rsidP="00EF735A">
            <w:pPr>
              <w:jc w:val="center"/>
              <w:rPr>
                <w:rFonts w:cs="Arial"/>
                <w:b/>
                <w:bCs/>
                <w:sz w:val="18"/>
                <w:szCs w:val="18"/>
              </w:rPr>
            </w:pPr>
            <w:r w:rsidRPr="003A52A5">
              <w:rPr>
                <w:rFonts w:cs="Arial"/>
                <w:b/>
                <w:bCs/>
                <w:sz w:val="18"/>
                <w:szCs w:val="18"/>
              </w:rPr>
              <w:t>2009</w:t>
            </w:r>
          </w:p>
        </w:tc>
        <w:tc>
          <w:tcPr>
            <w:tcW w:w="941" w:type="dxa"/>
            <w:tcBorders>
              <w:top w:val="single" w:sz="4" w:space="0" w:color="auto"/>
              <w:left w:val="nil"/>
              <w:bottom w:val="single" w:sz="4" w:space="0" w:color="auto"/>
              <w:right w:val="single" w:sz="4" w:space="0" w:color="auto"/>
            </w:tcBorders>
            <w:shd w:val="clear" w:color="auto" w:fill="D5DCE4"/>
            <w:vAlign w:val="center"/>
            <w:hideMark/>
          </w:tcPr>
          <w:p w14:paraId="3D7E8EE3" w14:textId="77777777" w:rsidR="00A96503" w:rsidRPr="003A52A5" w:rsidRDefault="00A96503" w:rsidP="00EF735A">
            <w:pPr>
              <w:jc w:val="center"/>
              <w:rPr>
                <w:rFonts w:cs="Arial"/>
                <w:b/>
                <w:bCs/>
                <w:sz w:val="18"/>
                <w:szCs w:val="18"/>
              </w:rPr>
            </w:pPr>
            <w:r w:rsidRPr="003A52A5">
              <w:rPr>
                <w:rFonts w:cs="Arial"/>
                <w:b/>
                <w:bCs/>
                <w:sz w:val="18"/>
                <w:szCs w:val="18"/>
              </w:rPr>
              <w:t>2010</w:t>
            </w:r>
          </w:p>
        </w:tc>
        <w:tc>
          <w:tcPr>
            <w:tcW w:w="941" w:type="dxa"/>
            <w:tcBorders>
              <w:top w:val="single" w:sz="4" w:space="0" w:color="auto"/>
              <w:left w:val="nil"/>
              <w:bottom w:val="single" w:sz="4" w:space="0" w:color="auto"/>
              <w:right w:val="single" w:sz="4" w:space="0" w:color="auto"/>
            </w:tcBorders>
            <w:shd w:val="clear" w:color="auto" w:fill="D5DCE4"/>
            <w:vAlign w:val="center"/>
            <w:hideMark/>
          </w:tcPr>
          <w:p w14:paraId="3B3C6851" w14:textId="77777777" w:rsidR="00A96503" w:rsidRPr="003A52A5" w:rsidRDefault="00A96503" w:rsidP="00EF735A">
            <w:pPr>
              <w:jc w:val="center"/>
              <w:rPr>
                <w:rFonts w:cs="Arial"/>
                <w:b/>
                <w:bCs/>
                <w:sz w:val="18"/>
                <w:szCs w:val="18"/>
              </w:rPr>
            </w:pPr>
            <w:r w:rsidRPr="003A52A5">
              <w:rPr>
                <w:rFonts w:cs="Arial"/>
                <w:b/>
                <w:bCs/>
                <w:sz w:val="18"/>
                <w:szCs w:val="18"/>
              </w:rPr>
              <w:t>2011</w:t>
            </w:r>
          </w:p>
        </w:tc>
        <w:tc>
          <w:tcPr>
            <w:tcW w:w="941" w:type="dxa"/>
            <w:tcBorders>
              <w:top w:val="single" w:sz="4" w:space="0" w:color="auto"/>
              <w:left w:val="nil"/>
              <w:bottom w:val="single" w:sz="4" w:space="0" w:color="auto"/>
              <w:right w:val="single" w:sz="4" w:space="0" w:color="auto"/>
            </w:tcBorders>
            <w:shd w:val="clear" w:color="auto" w:fill="D5DCE4"/>
            <w:vAlign w:val="center"/>
            <w:hideMark/>
          </w:tcPr>
          <w:p w14:paraId="177ABAB4" w14:textId="77777777" w:rsidR="00A96503" w:rsidRPr="003A52A5" w:rsidRDefault="00A96503" w:rsidP="00EF735A">
            <w:pPr>
              <w:jc w:val="center"/>
              <w:rPr>
                <w:rFonts w:cs="Arial"/>
                <w:b/>
                <w:bCs/>
                <w:sz w:val="18"/>
                <w:szCs w:val="18"/>
              </w:rPr>
            </w:pPr>
            <w:r w:rsidRPr="003A52A5">
              <w:rPr>
                <w:rFonts w:cs="Arial"/>
                <w:b/>
                <w:bCs/>
                <w:sz w:val="18"/>
                <w:szCs w:val="18"/>
              </w:rPr>
              <w:t>2012</w:t>
            </w:r>
          </w:p>
        </w:tc>
        <w:tc>
          <w:tcPr>
            <w:tcW w:w="941" w:type="dxa"/>
            <w:tcBorders>
              <w:top w:val="single" w:sz="4" w:space="0" w:color="auto"/>
              <w:left w:val="nil"/>
              <w:bottom w:val="single" w:sz="4" w:space="0" w:color="auto"/>
              <w:right w:val="single" w:sz="4" w:space="0" w:color="auto"/>
            </w:tcBorders>
            <w:shd w:val="clear" w:color="auto" w:fill="D5DCE4"/>
            <w:vAlign w:val="center"/>
            <w:hideMark/>
          </w:tcPr>
          <w:p w14:paraId="5A59459C" w14:textId="77777777" w:rsidR="00A96503" w:rsidRPr="003A52A5" w:rsidRDefault="00A96503" w:rsidP="00EF735A">
            <w:pPr>
              <w:jc w:val="center"/>
              <w:rPr>
                <w:rFonts w:cs="Arial"/>
                <w:b/>
                <w:bCs/>
                <w:sz w:val="18"/>
                <w:szCs w:val="18"/>
              </w:rPr>
            </w:pPr>
            <w:r w:rsidRPr="003A52A5">
              <w:rPr>
                <w:rFonts w:cs="Arial"/>
                <w:b/>
                <w:bCs/>
                <w:sz w:val="18"/>
                <w:szCs w:val="18"/>
              </w:rPr>
              <w:t>2013</w:t>
            </w:r>
          </w:p>
        </w:tc>
        <w:tc>
          <w:tcPr>
            <w:tcW w:w="991" w:type="dxa"/>
            <w:tcBorders>
              <w:top w:val="single" w:sz="4" w:space="0" w:color="auto"/>
              <w:left w:val="nil"/>
              <w:bottom w:val="single" w:sz="4" w:space="0" w:color="auto"/>
              <w:right w:val="nil"/>
            </w:tcBorders>
            <w:shd w:val="clear" w:color="auto" w:fill="D5DCE4"/>
            <w:vAlign w:val="center"/>
          </w:tcPr>
          <w:p w14:paraId="2DD050AF" w14:textId="77777777" w:rsidR="00A96503" w:rsidRPr="003A52A5" w:rsidRDefault="00A96503" w:rsidP="00EF735A">
            <w:pPr>
              <w:jc w:val="center"/>
              <w:rPr>
                <w:rFonts w:cs="Arial"/>
                <w:b/>
                <w:bCs/>
                <w:sz w:val="18"/>
                <w:szCs w:val="18"/>
              </w:rPr>
            </w:pPr>
            <w:r w:rsidRPr="003A52A5">
              <w:rPr>
                <w:rFonts w:cs="Arial"/>
                <w:b/>
                <w:bCs/>
                <w:sz w:val="18"/>
                <w:szCs w:val="18"/>
              </w:rPr>
              <w:t>2014</w:t>
            </w:r>
          </w:p>
        </w:tc>
        <w:tc>
          <w:tcPr>
            <w:tcW w:w="161" w:type="dxa"/>
            <w:tcBorders>
              <w:top w:val="single" w:sz="4" w:space="0" w:color="auto"/>
              <w:left w:val="nil"/>
              <w:bottom w:val="single" w:sz="4" w:space="0" w:color="auto"/>
              <w:right w:val="single" w:sz="4" w:space="0" w:color="auto"/>
            </w:tcBorders>
            <w:shd w:val="clear" w:color="auto" w:fill="D5DCE4"/>
          </w:tcPr>
          <w:p w14:paraId="2BB40957" w14:textId="77777777" w:rsidR="00A96503" w:rsidRPr="003A52A5" w:rsidRDefault="00A96503" w:rsidP="00EF735A">
            <w:pPr>
              <w:jc w:val="center"/>
              <w:rPr>
                <w:rFonts w:cs="Arial"/>
                <w:b/>
                <w:bCs/>
                <w:sz w:val="18"/>
                <w:szCs w:val="18"/>
              </w:rPr>
            </w:pPr>
          </w:p>
        </w:tc>
      </w:tr>
      <w:tr w:rsidR="00A96503" w:rsidRPr="003A52A5" w14:paraId="0B766502" w14:textId="77777777" w:rsidTr="00A96503">
        <w:trPr>
          <w:trHeight w:val="300"/>
        </w:trPr>
        <w:tc>
          <w:tcPr>
            <w:tcW w:w="1858" w:type="dxa"/>
            <w:tcBorders>
              <w:top w:val="nil"/>
              <w:left w:val="single" w:sz="4" w:space="0" w:color="auto"/>
              <w:bottom w:val="single" w:sz="4" w:space="0" w:color="auto"/>
              <w:right w:val="single" w:sz="4" w:space="0" w:color="auto"/>
            </w:tcBorders>
            <w:shd w:val="clear" w:color="auto" w:fill="D5DCE4"/>
            <w:vAlign w:val="center"/>
            <w:hideMark/>
          </w:tcPr>
          <w:p w14:paraId="3AC7AB26" w14:textId="77777777" w:rsidR="00A96503" w:rsidRPr="003A52A5" w:rsidRDefault="00A96503" w:rsidP="00EF735A">
            <w:pPr>
              <w:jc w:val="left"/>
              <w:rPr>
                <w:rFonts w:cs="Arial"/>
                <w:b/>
                <w:bCs/>
                <w:sz w:val="18"/>
                <w:szCs w:val="18"/>
              </w:rPr>
            </w:pPr>
            <w:r w:rsidRPr="003A52A5">
              <w:rPr>
                <w:rFonts w:cs="Arial"/>
                <w:b/>
                <w:bCs/>
                <w:sz w:val="18"/>
                <w:szCs w:val="18"/>
              </w:rPr>
              <w:t xml:space="preserve">Državni proračun </w:t>
            </w:r>
          </w:p>
        </w:tc>
        <w:tc>
          <w:tcPr>
            <w:tcW w:w="1041" w:type="dxa"/>
            <w:tcBorders>
              <w:top w:val="nil"/>
              <w:left w:val="nil"/>
              <w:bottom w:val="single" w:sz="4" w:space="0" w:color="auto"/>
              <w:right w:val="single" w:sz="4" w:space="0" w:color="auto"/>
            </w:tcBorders>
            <w:shd w:val="clear" w:color="auto" w:fill="auto"/>
            <w:vAlign w:val="center"/>
            <w:hideMark/>
          </w:tcPr>
          <w:p w14:paraId="18FDB61C" w14:textId="77777777" w:rsidR="00A96503" w:rsidRPr="003A52A5" w:rsidRDefault="00A96503" w:rsidP="00EF735A">
            <w:pPr>
              <w:jc w:val="right"/>
              <w:rPr>
                <w:rFonts w:cs="Arial"/>
                <w:sz w:val="18"/>
                <w:szCs w:val="18"/>
              </w:rPr>
            </w:pPr>
            <w:r w:rsidRPr="003A52A5">
              <w:rPr>
                <w:rFonts w:cs="Arial"/>
                <w:sz w:val="18"/>
                <w:szCs w:val="18"/>
              </w:rPr>
              <w:t>1.095.467</w:t>
            </w:r>
          </w:p>
        </w:tc>
        <w:tc>
          <w:tcPr>
            <w:tcW w:w="1041" w:type="dxa"/>
            <w:tcBorders>
              <w:top w:val="nil"/>
              <w:left w:val="nil"/>
              <w:bottom w:val="single" w:sz="4" w:space="0" w:color="auto"/>
              <w:right w:val="single" w:sz="4" w:space="0" w:color="auto"/>
            </w:tcBorders>
            <w:shd w:val="clear" w:color="auto" w:fill="auto"/>
            <w:vAlign w:val="center"/>
            <w:hideMark/>
          </w:tcPr>
          <w:p w14:paraId="584019D3" w14:textId="77777777" w:rsidR="00A96503" w:rsidRPr="003A52A5" w:rsidRDefault="00A96503" w:rsidP="00EF735A">
            <w:pPr>
              <w:jc w:val="right"/>
              <w:rPr>
                <w:rFonts w:cs="Arial"/>
                <w:sz w:val="18"/>
                <w:szCs w:val="18"/>
              </w:rPr>
            </w:pPr>
            <w:r w:rsidRPr="003A52A5">
              <w:rPr>
                <w:rFonts w:cs="Arial"/>
                <w:sz w:val="18"/>
                <w:szCs w:val="18"/>
              </w:rPr>
              <w:t>624.193</w:t>
            </w:r>
          </w:p>
        </w:tc>
        <w:tc>
          <w:tcPr>
            <w:tcW w:w="941" w:type="dxa"/>
            <w:tcBorders>
              <w:top w:val="nil"/>
              <w:left w:val="nil"/>
              <w:bottom w:val="single" w:sz="4" w:space="0" w:color="auto"/>
              <w:right w:val="single" w:sz="4" w:space="0" w:color="auto"/>
            </w:tcBorders>
            <w:shd w:val="clear" w:color="auto" w:fill="auto"/>
            <w:vAlign w:val="center"/>
            <w:hideMark/>
          </w:tcPr>
          <w:p w14:paraId="2E2BA2B3" w14:textId="77777777" w:rsidR="00A96503" w:rsidRPr="003A52A5" w:rsidRDefault="00A96503" w:rsidP="00EF735A">
            <w:pPr>
              <w:jc w:val="right"/>
              <w:rPr>
                <w:rFonts w:cs="Arial"/>
                <w:sz w:val="18"/>
                <w:szCs w:val="18"/>
              </w:rPr>
            </w:pPr>
            <w:r w:rsidRPr="003A52A5">
              <w:rPr>
                <w:rFonts w:cs="Arial"/>
                <w:sz w:val="18"/>
                <w:szCs w:val="18"/>
              </w:rPr>
              <w:t>789.202</w:t>
            </w:r>
          </w:p>
        </w:tc>
        <w:tc>
          <w:tcPr>
            <w:tcW w:w="941" w:type="dxa"/>
            <w:tcBorders>
              <w:top w:val="nil"/>
              <w:left w:val="nil"/>
              <w:bottom w:val="single" w:sz="4" w:space="0" w:color="auto"/>
              <w:right w:val="single" w:sz="4" w:space="0" w:color="auto"/>
            </w:tcBorders>
            <w:shd w:val="clear" w:color="auto" w:fill="auto"/>
            <w:vAlign w:val="center"/>
            <w:hideMark/>
          </w:tcPr>
          <w:p w14:paraId="5B0D67D8" w14:textId="77777777" w:rsidR="00A96503" w:rsidRPr="003A52A5" w:rsidRDefault="00A96503" w:rsidP="00EF735A">
            <w:pPr>
              <w:jc w:val="right"/>
              <w:rPr>
                <w:rFonts w:cs="Arial"/>
                <w:sz w:val="18"/>
                <w:szCs w:val="18"/>
              </w:rPr>
            </w:pPr>
            <w:r w:rsidRPr="003A52A5">
              <w:rPr>
                <w:rFonts w:cs="Arial"/>
                <w:sz w:val="18"/>
                <w:szCs w:val="18"/>
              </w:rPr>
              <w:t>1.620.475</w:t>
            </w:r>
          </w:p>
        </w:tc>
        <w:tc>
          <w:tcPr>
            <w:tcW w:w="941" w:type="dxa"/>
            <w:tcBorders>
              <w:top w:val="nil"/>
              <w:left w:val="nil"/>
              <w:bottom w:val="single" w:sz="4" w:space="0" w:color="auto"/>
              <w:right w:val="single" w:sz="4" w:space="0" w:color="auto"/>
            </w:tcBorders>
            <w:shd w:val="clear" w:color="000000" w:fill="FFFFFF"/>
            <w:vAlign w:val="center"/>
            <w:hideMark/>
          </w:tcPr>
          <w:p w14:paraId="2C55B9DD" w14:textId="77777777" w:rsidR="00A96503" w:rsidRPr="003A52A5" w:rsidRDefault="00A96503" w:rsidP="00EF735A">
            <w:pPr>
              <w:jc w:val="right"/>
              <w:rPr>
                <w:rFonts w:cs="Arial"/>
                <w:sz w:val="18"/>
                <w:szCs w:val="18"/>
              </w:rPr>
            </w:pPr>
            <w:r w:rsidRPr="003A52A5">
              <w:rPr>
                <w:rFonts w:cs="Arial"/>
                <w:sz w:val="18"/>
                <w:szCs w:val="18"/>
              </w:rPr>
              <w:t>662.112</w:t>
            </w:r>
          </w:p>
        </w:tc>
        <w:tc>
          <w:tcPr>
            <w:tcW w:w="941" w:type="dxa"/>
            <w:tcBorders>
              <w:top w:val="nil"/>
              <w:left w:val="nil"/>
              <w:bottom w:val="single" w:sz="4" w:space="0" w:color="auto"/>
              <w:right w:val="single" w:sz="4" w:space="0" w:color="auto"/>
            </w:tcBorders>
            <w:shd w:val="clear" w:color="000000" w:fill="FFFFFF"/>
            <w:vAlign w:val="center"/>
            <w:hideMark/>
          </w:tcPr>
          <w:p w14:paraId="6FC81871" w14:textId="77777777" w:rsidR="00A96503" w:rsidRPr="003A52A5" w:rsidRDefault="00A96503" w:rsidP="00EF735A">
            <w:pPr>
              <w:jc w:val="right"/>
              <w:rPr>
                <w:rFonts w:cs="Arial"/>
                <w:sz w:val="18"/>
                <w:szCs w:val="18"/>
              </w:rPr>
            </w:pPr>
            <w:r w:rsidRPr="003A52A5">
              <w:rPr>
                <w:rFonts w:cs="Arial"/>
                <w:sz w:val="18"/>
                <w:szCs w:val="18"/>
              </w:rPr>
              <w:t>518.992</w:t>
            </w:r>
          </w:p>
        </w:tc>
        <w:tc>
          <w:tcPr>
            <w:tcW w:w="991" w:type="dxa"/>
            <w:tcBorders>
              <w:top w:val="nil"/>
              <w:left w:val="nil"/>
              <w:bottom w:val="single" w:sz="4" w:space="0" w:color="auto"/>
              <w:right w:val="nil"/>
            </w:tcBorders>
            <w:shd w:val="clear" w:color="000000" w:fill="FFFFFF"/>
            <w:vAlign w:val="center"/>
          </w:tcPr>
          <w:p w14:paraId="6A5E99FD" w14:textId="77777777" w:rsidR="00A96503" w:rsidRPr="003A52A5" w:rsidRDefault="00A96503" w:rsidP="00EF735A">
            <w:pPr>
              <w:jc w:val="right"/>
              <w:rPr>
                <w:rFonts w:cs="Arial"/>
                <w:sz w:val="18"/>
                <w:szCs w:val="18"/>
              </w:rPr>
            </w:pPr>
            <w:r w:rsidRPr="003A52A5">
              <w:rPr>
                <w:rFonts w:cs="Arial"/>
                <w:sz w:val="18"/>
                <w:szCs w:val="18"/>
              </w:rPr>
              <w:t>297.656</w:t>
            </w:r>
          </w:p>
        </w:tc>
        <w:tc>
          <w:tcPr>
            <w:tcW w:w="161" w:type="dxa"/>
            <w:tcBorders>
              <w:top w:val="nil"/>
              <w:left w:val="nil"/>
              <w:bottom w:val="single" w:sz="4" w:space="0" w:color="auto"/>
              <w:right w:val="single" w:sz="4" w:space="0" w:color="auto"/>
            </w:tcBorders>
            <w:shd w:val="clear" w:color="000000" w:fill="FFFFFF"/>
          </w:tcPr>
          <w:p w14:paraId="4A467153" w14:textId="77777777" w:rsidR="00A96503" w:rsidRPr="003A52A5" w:rsidRDefault="00A96503" w:rsidP="00EF735A">
            <w:pPr>
              <w:jc w:val="right"/>
              <w:rPr>
                <w:rFonts w:cs="Arial"/>
                <w:sz w:val="18"/>
                <w:szCs w:val="18"/>
              </w:rPr>
            </w:pPr>
          </w:p>
        </w:tc>
      </w:tr>
      <w:tr w:rsidR="00A96503" w:rsidRPr="003A52A5" w14:paraId="2E58810F" w14:textId="77777777" w:rsidTr="00A96503">
        <w:trPr>
          <w:trHeight w:val="300"/>
        </w:trPr>
        <w:tc>
          <w:tcPr>
            <w:tcW w:w="1858" w:type="dxa"/>
            <w:tcBorders>
              <w:top w:val="nil"/>
              <w:left w:val="single" w:sz="4" w:space="0" w:color="auto"/>
              <w:bottom w:val="single" w:sz="4" w:space="0" w:color="auto"/>
              <w:right w:val="single" w:sz="4" w:space="0" w:color="auto"/>
            </w:tcBorders>
            <w:shd w:val="clear" w:color="auto" w:fill="D5DCE4"/>
            <w:vAlign w:val="center"/>
            <w:hideMark/>
          </w:tcPr>
          <w:p w14:paraId="580DA7C3" w14:textId="77777777" w:rsidR="00A96503" w:rsidRPr="003A52A5" w:rsidRDefault="00A96503" w:rsidP="00EF735A">
            <w:pPr>
              <w:jc w:val="left"/>
              <w:rPr>
                <w:rFonts w:cs="Arial"/>
                <w:b/>
                <w:bCs/>
                <w:sz w:val="18"/>
                <w:szCs w:val="18"/>
              </w:rPr>
            </w:pPr>
            <w:r w:rsidRPr="003A52A5">
              <w:rPr>
                <w:rFonts w:cs="Arial"/>
                <w:b/>
                <w:bCs/>
                <w:sz w:val="18"/>
                <w:szCs w:val="18"/>
              </w:rPr>
              <w:t>Občinski proračun</w:t>
            </w:r>
          </w:p>
        </w:tc>
        <w:tc>
          <w:tcPr>
            <w:tcW w:w="1041" w:type="dxa"/>
            <w:tcBorders>
              <w:top w:val="nil"/>
              <w:left w:val="nil"/>
              <w:bottom w:val="single" w:sz="4" w:space="0" w:color="auto"/>
              <w:right w:val="single" w:sz="4" w:space="0" w:color="auto"/>
            </w:tcBorders>
            <w:shd w:val="clear" w:color="000000" w:fill="FFFFFF"/>
            <w:vAlign w:val="center"/>
            <w:hideMark/>
          </w:tcPr>
          <w:p w14:paraId="1EE9B9DC" w14:textId="77777777" w:rsidR="00A96503" w:rsidRPr="003A52A5" w:rsidRDefault="00A96503" w:rsidP="00EF735A">
            <w:pPr>
              <w:jc w:val="right"/>
              <w:rPr>
                <w:rFonts w:cs="Arial"/>
                <w:sz w:val="18"/>
                <w:szCs w:val="18"/>
              </w:rPr>
            </w:pPr>
            <w:r w:rsidRPr="003A52A5">
              <w:rPr>
                <w:rFonts w:cs="Arial"/>
                <w:sz w:val="18"/>
                <w:szCs w:val="18"/>
              </w:rPr>
              <w:t>11.816.787</w:t>
            </w:r>
          </w:p>
        </w:tc>
        <w:tc>
          <w:tcPr>
            <w:tcW w:w="1041" w:type="dxa"/>
            <w:tcBorders>
              <w:top w:val="nil"/>
              <w:left w:val="nil"/>
              <w:bottom w:val="single" w:sz="4" w:space="0" w:color="auto"/>
              <w:right w:val="single" w:sz="4" w:space="0" w:color="auto"/>
            </w:tcBorders>
            <w:shd w:val="clear" w:color="000000" w:fill="FFFFFF"/>
            <w:vAlign w:val="center"/>
            <w:hideMark/>
          </w:tcPr>
          <w:p w14:paraId="078BF47B" w14:textId="77777777" w:rsidR="00A96503" w:rsidRPr="003A52A5" w:rsidRDefault="00A96503" w:rsidP="00EF735A">
            <w:pPr>
              <w:jc w:val="right"/>
              <w:rPr>
                <w:rFonts w:cs="Arial"/>
                <w:sz w:val="18"/>
                <w:szCs w:val="18"/>
              </w:rPr>
            </w:pPr>
            <w:r w:rsidRPr="003A52A5">
              <w:rPr>
                <w:rFonts w:cs="Arial"/>
                <w:sz w:val="18"/>
                <w:szCs w:val="18"/>
              </w:rPr>
              <w:t>12.566.995</w:t>
            </w:r>
          </w:p>
        </w:tc>
        <w:tc>
          <w:tcPr>
            <w:tcW w:w="941" w:type="dxa"/>
            <w:tcBorders>
              <w:top w:val="nil"/>
              <w:left w:val="nil"/>
              <w:bottom w:val="single" w:sz="4" w:space="0" w:color="auto"/>
              <w:right w:val="single" w:sz="4" w:space="0" w:color="auto"/>
            </w:tcBorders>
            <w:shd w:val="clear" w:color="000000" w:fill="FFFFFF"/>
            <w:vAlign w:val="center"/>
            <w:hideMark/>
          </w:tcPr>
          <w:p w14:paraId="1F2ED812" w14:textId="77777777" w:rsidR="00A96503" w:rsidRPr="003A52A5" w:rsidRDefault="00A96503" w:rsidP="00EF735A">
            <w:pPr>
              <w:jc w:val="right"/>
              <w:rPr>
                <w:rFonts w:cs="Arial"/>
                <w:sz w:val="18"/>
                <w:szCs w:val="18"/>
              </w:rPr>
            </w:pPr>
            <w:r w:rsidRPr="003A52A5">
              <w:rPr>
                <w:rFonts w:cs="Arial"/>
                <w:sz w:val="18"/>
                <w:szCs w:val="18"/>
              </w:rPr>
              <w:t>7.042.862</w:t>
            </w:r>
          </w:p>
        </w:tc>
        <w:tc>
          <w:tcPr>
            <w:tcW w:w="941" w:type="dxa"/>
            <w:tcBorders>
              <w:top w:val="nil"/>
              <w:left w:val="nil"/>
              <w:bottom w:val="single" w:sz="4" w:space="0" w:color="auto"/>
              <w:right w:val="single" w:sz="4" w:space="0" w:color="auto"/>
            </w:tcBorders>
            <w:shd w:val="clear" w:color="000000" w:fill="FFFFFF"/>
            <w:vAlign w:val="center"/>
            <w:hideMark/>
          </w:tcPr>
          <w:p w14:paraId="6323E5A8" w14:textId="77777777" w:rsidR="00A96503" w:rsidRPr="003A52A5" w:rsidRDefault="00A96503" w:rsidP="00EF735A">
            <w:pPr>
              <w:jc w:val="right"/>
              <w:rPr>
                <w:rFonts w:cs="Arial"/>
                <w:sz w:val="18"/>
                <w:szCs w:val="18"/>
              </w:rPr>
            </w:pPr>
            <w:r w:rsidRPr="003A52A5">
              <w:rPr>
                <w:rFonts w:cs="Arial"/>
                <w:sz w:val="18"/>
                <w:szCs w:val="18"/>
              </w:rPr>
              <w:t>5.573.079</w:t>
            </w:r>
          </w:p>
        </w:tc>
        <w:tc>
          <w:tcPr>
            <w:tcW w:w="941" w:type="dxa"/>
            <w:tcBorders>
              <w:top w:val="nil"/>
              <w:left w:val="nil"/>
              <w:bottom w:val="single" w:sz="4" w:space="0" w:color="auto"/>
              <w:right w:val="single" w:sz="4" w:space="0" w:color="auto"/>
            </w:tcBorders>
            <w:shd w:val="clear" w:color="000000" w:fill="FFFFFF"/>
            <w:vAlign w:val="center"/>
            <w:hideMark/>
          </w:tcPr>
          <w:p w14:paraId="732E43EE" w14:textId="77777777" w:rsidR="00A96503" w:rsidRPr="003A52A5" w:rsidRDefault="00A96503" w:rsidP="00EF735A">
            <w:pPr>
              <w:jc w:val="right"/>
              <w:rPr>
                <w:rFonts w:cs="Arial"/>
                <w:sz w:val="18"/>
                <w:szCs w:val="18"/>
              </w:rPr>
            </w:pPr>
            <w:r w:rsidRPr="003A52A5">
              <w:rPr>
                <w:rFonts w:cs="Arial"/>
                <w:sz w:val="18"/>
                <w:szCs w:val="18"/>
              </w:rPr>
              <w:t>3.994.397</w:t>
            </w:r>
          </w:p>
        </w:tc>
        <w:tc>
          <w:tcPr>
            <w:tcW w:w="941" w:type="dxa"/>
            <w:tcBorders>
              <w:top w:val="nil"/>
              <w:left w:val="nil"/>
              <w:bottom w:val="single" w:sz="4" w:space="0" w:color="auto"/>
              <w:right w:val="single" w:sz="4" w:space="0" w:color="auto"/>
            </w:tcBorders>
            <w:shd w:val="clear" w:color="000000" w:fill="FFFFFF"/>
            <w:vAlign w:val="center"/>
            <w:hideMark/>
          </w:tcPr>
          <w:p w14:paraId="50F102DD" w14:textId="77777777" w:rsidR="00A96503" w:rsidRPr="003A52A5" w:rsidRDefault="00A96503" w:rsidP="00EF735A">
            <w:pPr>
              <w:jc w:val="right"/>
              <w:rPr>
                <w:rFonts w:cs="Arial"/>
                <w:sz w:val="18"/>
                <w:szCs w:val="18"/>
              </w:rPr>
            </w:pPr>
            <w:r w:rsidRPr="003A52A5">
              <w:rPr>
                <w:rFonts w:cs="Arial"/>
                <w:sz w:val="18"/>
                <w:szCs w:val="18"/>
              </w:rPr>
              <w:t>3.006.253</w:t>
            </w:r>
          </w:p>
        </w:tc>
        <w:tc>
          <w:tcPr>
            <w:tcW w:w="991" w:type="dxa"/>
            <w:tcBorders>
              <w:top w:val="nil"/>
              <w:left w:val="nil"/>
              <w:bottom w:val="single" w:sz="4" w:space="0" w:color="auto"/>
              <w:right w:val="nil"/>
            </w:tcBorders>
            <w:shd w:val="clear" w:color="000000" w:fill="FFFFFF"/>
            <w:vAlign w:val="center"/>
          </w:tcPr>
          <w:p w14:paraId="4907A66F" w14:textId="77777777" w:rsidR="00A96503" w:rsidRPr="003A52A5" w:rsidRDefault="00A96503" w:rsidP="00EF735A">
            <w:pPr>
              <w:jc w:val="right"/>
              <w:rPr>
                <w:rFonts w:cs="Arial"/>
                <w:sz w:val="18"/>
                <w:szCs w:val="18"/>
              </w:rPr>
            </w:pPr>
            <w:r w:rsidRPr="003A52A5">
              <w:rPr>
                <w:rFonts w:cs="Arial"/>
                <w:sz w:val="18"/>
                <w:szCs w:val="18"/>
              </w:rPr>
              <w:t>2.923.707 </w:t>
            </w:r>
          </w:p>
        </w:tc>
        <w:tc>
          <w:tcPr>
            <w:tcW w:w="161" w:type="dxa"/>
            <w:tcBorders>
              <w:top w:val="nil"/>
              <w:left w:val="nil"/>
              <w:bottom w:val="single" w:sz="4" w:space="0" w:color="auto"/>
              <w:right w:val="single" w:sz="4" w:space="0" w:color="auto"/>
            </w:tcBorders>
            <w:shd w:val="clear" w:color="000000" w:fill="FFFFFF"/>
          </w:tcPr>
          <w:p w14:paraId="4588DB79" w14:textId="77777777" w:rsidR="00A96503" w:rsidRPr="003A52A5" w:rsidRDefault="00A96503" w:rsidP="00EF735A">
            <w:pPr>
              <w:jc w:val="right"/>
              <w:rPr>
                <w:rFonts w:cs="Arial"/>
                <w:sz w:val="18"/>
                <w:szCs w:val="18"/>
              </w:rPr>
            </w:pPr>
          </w:p>
        </w:tc>
      </w:tr>
    </w:tbl>
    <w:p w14:paraId="145BD699" w14:textId="77777777" w:rsidR="007D37F1" w:rsidRPr="003A52A5" w:rsidRDefault="007D37F1" w:rsidP="00EF735A">
      <w:pPr>
        <w:rPr>
          <w:rFonts w:cs="Arial"/>
          <w:sz w:val="24"/>
        </w:rPr>
      </w:pPr>
    </w:p>
    <w:tbl>
      <w:tblPr>
        <w:tblW w:w="8882" w:type="dxa"/>
        <w:tblInd w:w="55" w:type="dxa"/>
        <w:tblLayout w:type="fixed"/>
        <w:tblCellMar>
          <w:left w:w="70" w:type="dxa"/>
          <w:right w:w="70" w:type="dxa"/>
        </w:tblCellMar>
        <w:tblLook w:val="04A0" w:firstRow="1" w:lastRow="0" w:firstColumn="1" w:lastColumn="0" w:noHBand="0" w:noVBand="1"/>
      </w:tblPr>
      <w:tblGrid>
        <w:gridCol w:w="1858"/>
        <w:gridCol w:w="985"/>
        <w:gridCol w:w="993"/>
        <w:gridCol w:w="1010"/>
        <w:gridCol w:w="1011"/>
        <w:gridCol w:w="992"/>
        <w:gridCol w:w="992"/>
        <w:gridCol w:w="1041"/>
      </w:tblGrid>
      <w:tr w:rsidR="00A96503" w:rsidRPr="003A52A5" w14:paraId="3FC38995" w14:textId="77777777" w:rsidTr="005277D2">
        <w:trPr>
          <w:trHeight w:val="300"/>
        </w:trPr>
        <w:tc>
          <w:tcPr>
            <w:tcW w:w="1858" w:type="dxa"/>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2445D43" w14:textId="77777777" w:rsidR="00A96503" w:rsidRPr="003A52A5" w:rsidRDefault="00A96503" w:rsidP="00EF735A">
            <w:pPr>
              <w:jc w:val="left"/>
              <w:rPr>
                <w:rFonts w:cs="Arial"/>
                <w:color w:val="000000"/>
                <w:sz w:val="18"/>
                <w:szCs w:val="18"/>
              </w:rPr>
            </w:pPr>
            <w:r w:rsidRPr="003A52A5">
              <w:rPr>
                <w:rFonts w:cs="Arial"/>
                <w:color w:val="000000"/>
                <w:sz w:val="18"/>
                <w:szCs w:val="18"/>
              </w:rPr>
              <w:t> </w:t>
            </w:r>
            <w:r w:rsidRPr="003A52A5">
              <w:rPr>
                <w:rFonts w:cs="Arial"/>
                <w:b/>
                <w:bCs/>
                <w:color w:val="000000"/>
                <w:sz w:val="18"/>
                <w:szCs w:val="18"/>
              </w:rPr>
              <w:t>PRIHODKI</w:t>
            </w:r>
          </w:p>
        </w:tc>
        <w:tc>
          <w:tcPr>
            <w:tcW w:w="985" w:type="dxa"/>
            <w:tcBorders>
              <w:top w:val="single" w:sz="4" w:space="0" w:color="auto"/>
              <w:left w:val="single" w:sz="4" w:space="0" w:color="auto"/>
              <w:bottom w:val="single" w:sz="4" w:space="0" w:color="auto"/>
              <w:right w:val="single" w:sz="4" w:space="0" w:color="auto"/>
            </w:tcBorders>
            <w:shd w:val="clear" w:color="auto" w:fill="D5DCE4"/>
            <w:vAlign w:val="center"/>
          </w:tcPr>
          <w:p w14:paraId="33BA973A" w14:textId="77777777" w:rsidR="00A96503" w:rsidRPr="003A52A5" w:rsidRDefault="00A96503" w:rsidP="00EF735A">
            <w:pPr>
              <w:jc w:val="center"/>
              <w:rPr>
                <w:rFonts w:cs="Arial"/>
                <w:b/>
                <w:bCs/>
                <w:sz w:val="18"/>
                <w:szCs w:val="18"/>
              </w:rPr>
            </w:pPr>
            <w:r w:rsidRPr="003A52A5">
              <w:rPr>
                <w:rFonts w:cs="Arial"/>
                <w:b/>
                <w:bCs/>
                <w:sz w:val="18"/>
                <w:szCs w:val="18"/>
              </w:rPr>
              <w:t>2015</w:t>
            </w:r>
          </w:p>
        </w:tc>
        <w:tc>
          <w:tcPr>
            <w:tcW w:w="993" w:type="dxa"/>
            <w:tcBorders>
              <w:top w:val="single" w:sz="4" w:space="0" w:color="auto"/>
              <w:left w:val="single" w:sz="4" w:space="0" w:color="auto"/>
              <w:bottom w:val="single" w:sz="4" w:space="0" w:color="auto"/>
              <w:right w:val="single" w:sz="4" w:space="0" w:color="auto"/>
            </w:tcBorders>
            <w:shd w:val="clear" w:color="auto" w:fill="D5DCE4"/>
            <w:vAlign w:val="center"/>
          </w:tcPr>
          <w:p w14:paraId="18485547" w14:textId="77777777" w:rsidR="00A96503" w:rsidRPr="003A52A5" w:rsidRDefault="00A96503" w:rsidP="00EF735A">
            <w:pPr>
              <w:jc w:val="center"/>
              <w:rPr>
                <w:rFonts w:cs="Arial"/>
                <w:b/>
                <w:bCs/>
                <w:sz w:val="18"/>
                <w:szCs w:val="18"/>
              </w:rPr>
            </w:pPr>
            <w:r w:rsidRPr="003A52A5">
              <w:rPr>
                <w:rFonts w:cs="Arial"/>
                <w:b/>
                <w:bCs/>
                <w:sz w:val="18"/>
                <w:szCs w:val="18"/>
              </w:rPr>
              <w:t>2016</w:t>
            </w:r>
          </w:p>
        </w:tc>
        <w:tc>
          <w:tcPr>
            <w:tcW w:w="1010" w:type="dxa"/>
            <w:tcBorders>
              <w:top w:val="single" w:sz="4" w:space="0" w:color="auto"/>
              <w:left w:val="nil"/>
              <w:bottom w:val="single" w:sz="4" w:space="0" w:color="auto"/>
              <w:right w:val="single" w:sz="4" w:space="0" w:color="auto"/>
            </w:tcBorders>
            <w:shd w:val="clear" w:color="auto" w:fill="D5DCE4"/>
            <w:vAlign w:val="center"/>
          </w:tcPr>
          <w:p w14:paraId="29FC4A07" w14:textId="77777777" w:rsidR="00A96503" w:rsidRPr="003A52A5" w:rsidRDefault="00A96503" w:rsidP="00EF735A">
            <w:pPr>
              <w:jc w:val="center"/>
              <w:rPr>
                <w:rFonts w:cs="Arial"/>
                <w:b/>
                <w:bCs/>
                <w:sz w:val="18"/>
                <w:szCs w:val="18"/>
              </w:rPr>
            </w:pPr>
            <w:r w:rsidRPr="003A52A5">
              <w:rPr>
                <w:rFonts w:cs="Arial"/>
                <w:b/>
                <w:bCs/>
                <w:sz w:val="18"/>
                <w:szCs w:val="18"/>
              </w:rPr>
              <w:t>2017</w:t>
            </w:r>
          </w:p>
        </w:tc>
        <w:tc>
          <w:tcPr>
            <w:tcW w:w="1011" w:type="dxa"/>
            <w:tcBorders>
              <w:top w:val="single" w:sz="4" w:space="0" w:color="auto"/>
              <w:left w:val="nil"/>
              <w:bottom w:val="single" w:sz="4" w:space="0" w:color="auto"/>
              <w:right w:val="single" w:sz="4" w:space="0" w:color="auto"/>
            </w:tcBorders>
            <w:shd w:val="clear" w:color="auto" w:fill="D5DCE4"/>
            <w:vAlign w:val="center"/>
          </w:tcPr>
          <w:p w14:paraId="4EB0C216" w14:textId="77777777" w:rsidR="00A96503" w:rsidRPr="003A52A5" w:rsidRDefault="00A96503" w:rsidP="00EF735A">
            <w:pPr>
              <w:jc w:val="center"/>
              <w:rPr>
                <w:rFonts w:cs="Arial"/>
                <w:b/>
                <w:bCs/>
                <w:sz w:val="18"/>
                <w:szCs w:val="18"/>
              </w:rPr>
            </w:pPr>
            <w:r w:rsidRPr="003A52A5">
              <w:rPr>
                <w:rFonts w:cs="Arial"/>
                <w:b/>
                <w:bCs/>
                <w:sz w:val="18"/>
                <w:szCs w:val="18"/>
              </w:rPr>
              <w:t>2018</w:t>
            </w:r>
          </w:p>
        </w:tc>
        <w:tc>
          <w:tcPr>
            <w:tcW w:w="992" w:type="dxa"/>
            <w:tcBorders>
              <w:top w:val="single" w:sz="4" w:space="0" w:color="auto"/>
              <w:left w:val="nil"/>
              <w:bottom w:val="single" w:sz="4" w:space="0" w:color="auto"/>
              <w:right w:val="single" w:sz="4" w:space="0" w:color="auto"/>
            </w:tcBorders>
            <w:shd w:val="clear" w:color="auto" w:fill="D5DCE4"/>
            <w:vAlign w:val="center"/>
          </w:tcPr>
          <w:p w14:paraId="6E12B422" w14:textId="77777777" w:rsidR="00A96503" w:rsidRPr="003A52A5" w:rsidRDefault="00A96503" w:rsidP="00EF735A">
            <w:pPr>
              <w:jc w:val="center"/>
              <w:rPr>
                <w:rFonts w:cs="Arial"/>
                <w:b/>
                <w:bCs/>
                <w:sz w:val="18"/>
                <w:szCs w:val="18"/>
              </w:rPr>
            </w:pPr>
            <w:r w:rsidRPr="003A52A5">
              <w:rPr>
                <w:rFonts w:cs="Arial"/>
                <w:b/>
                <w:bCs/>
                <w:sz w:val="18"/>
                <w:szCs w:val="18"/>
              </w:rPr>
              <w:t>2019</w:t>
            </w:r>
          </w:p>
        </w:tc>
        <w:tc>
          <w:tcPr>
            <w:tcW w:w="992" w:type="dxa"/>
            <w:tcBorders>
              <w:top w:val="single" w:sz="4" w:space="0" w:color="auto"/>
              <w:left w:val="nil"/>
              <w:bottom w:val="single" w:sz="4" w:space="0" w:color="auto"/>
              <w:right w:val="single" w:sz="4" w:space="0" w:color="auto"/>
            </w:tcBorders>
            <w:shd w:val="clear" w:color="auto" w:fill="D5DCE4"/>
            <w:vAlign w:val="center"/>
          </w:tcPr>
          <w:p w14:paraId="5E957D00" w14:textId="77777777" w:rsidR="00A96503" w:rsidRPr="003A52A5" w:rsidRDefault="00A96503" w:rsidP="00EF735A">
            <w:pPr>
              <w:jc w:val="center"/>
              <w:rPr>
                <w:rFonts w:cs="Arial"/>
                <w:b/>
                <w:bCs/>
                <w:sz w:val="18"/>
                <w:szCs w:val="18"/>
              </w:rPr>
            </w:pPr>
            <w:r w:rsidRPr="003A52A5">
              <w:rPr>
                <w:rFonts w:cs="Arial"/>
                <w:b/>
                <w:bCs/>
                <w:sz w:val="18"/>
                <w:szCs w:val="18"/>
              </w:rPr>
              <w:t>2020</w:t>
            </w:r>
          </w:p>
        </w:tc>
        <w:tc>
          <w:tcPr>
            <w:tcW w:w="1041" w:type="dxa"/>
            <w:tcBorders>
              <w:top w:val="single" w:sz="4" w:space="0" w:color="auto"/>
              <w:left w:val="nil"/>
              <w:bottom w:val="single" w:sz="4" w:space="0" w:color="auto"/>
              <w:right w:val="single" w:sz="4" w:space="0" w:color="auto"/>
            </w:tcBorders>
            <w:shd w:val="clear" w:color="auto" w:fill="D5DCE4"/>
            <w:vAlign w:val="center"/>
          </w:tcPr>
          <w:p w14:paraId="27E9648F" w14:textId="77777777" w:rsidR="00A96503" w:rsidRPr="003A52A5" w:rsidRDefault="00A96503" w:rsidP="00EF735A">
            <w:pPr>
              <w:jc w:val="center"/>
              <w:rPr>
                <w:rFonts w:cs="Arial"/>
                <w:b/>
                <w:bCs/>
                <w:sz w:val="18"/>
                <w:szCs w:val="18"/>
              </w:rPr>
            </w:pPr>
            <w:r w:rsidRPr="003A52A5">
              <w:rPr>
                <w:rFonts w:cs="Arial"/>
                <w:b/>
                <w:bCs/>
                <w:sz w:val="18"/>
                <w:szCs w:val="18"/>
              </w:rPr>
              <w:t>2021</w:t>
            </w:r>
          </w:p>
        </w:tc>
      </w:tr>
      <w:tr w:rsidR="00A96503" w:rsidRPr="003A52A5" w14:paraId="70B76765" w14:textId="77777777" w:rsidTr="005277D2">
        <w:trPr>
          <w:trHeight w:val="300"/>
        </w:trPr>
        <w:tc>
          <w:tcPr>
            <w:tcW w:w="1858" w:type="dxa"/>
            <w:tcBorders>
              <w:top w:val="nil"/>
              <w:left w:val="single" w:sz="4" w:space="0" w:color="auto"/>
              <w:bottom w:val="single" w:sz="4" w:space="0" w:color="auto"/>
              <w:right w:val="single" w:sz="4" w:space="0" w:color="auto"/>
            </w:tcBorders>
            <w:shd w:val="clear" w:color="auto" w:fill="D5DCE4"/>
            <w:vAlign w:val="center"/>
          </w:tcPr>
          <w:p w14:paraId="4B81E57B" w14:textId="77777777" w:rsidR="00A96503" w:rsidRPr="003A52A5" w:rsidRDefault="00A96503" w:rsidP="00EF735A">
            <w:pPr>
              <w:jc w:val="left"/>
              <w:rPr>
                <w:rFonts w:cs="Arial"/>
                <w:b/>
                <w:bCs/>
                <w:sz w:val="18"/>
                <w:szCs w:val="18"/>
              </w:rPr>
            </w:pPr>
            <w:r w:rsidRPr="003A52A5">
              <w:rPr>
                <w:rFonts w:cs="Arial"/>
                <w:b/>
                <w:bCs/>
                <w:sz w:val="18"/>
                <w:szCs w:val="18"/>
              </w:rPr>
              <w:t xml:space="preserve">Državni proračun </w:t>
            </w:r>
          </w:p>
        </w:tc>
        <w:tc>
          <w:tcPr>
            <w:tcW w:w="985" w:type="dxa"/>
            <w:tcBorders>
              <w:top w:val="single" w:sz="4" w:space="0" w:color="auto"/>
              <w:left w:val="single" w:sz="4" w:space="0" w:color="auto"/>
              <w:bottom w:val="single" w:sz="4" w:space="0" w:color="auto"/>
              <w:right w:val="single" w:sz="4" w:space="0" w:color="auto"/>
            </w:tcBorders>
            <w:vAlign w:val="center"/>
          </w:tcPr>
          <w:p w14:paraId="514D7D0B" w14:textId="77777777" w:rsidR="00A96503" w:rsidRPr="003A52A5" w:rsidRDefault="00A96503" w:rsidP="00EF735A">
            <w:pPr>
              <w:jc w:val="right"/>
              <w:rPr>
                <w:rFonts w:cs="Arial"/>
                <w:sz w:val="18"/>
                <w:szCs w:val="18"/>
              </w:rPr>
            </w:pPr>
            <w:r w:rsidRPr="003A52A5">
              <w:rPr>
                <w:rFonts w:cs="Arial"/>
                <w:sz w:val="18"/>
                <w:szCs w:val="18"/>
              </w:rPr>
              <w:t>450.525</w:t>
            </w:r>
          </w:p>
        </w:tc>
        <w:tc>
          <w:tcPr>
            <w:tcW w:w="993" w:type="dxa"/>
            <w:tcBorders>
              <w:top w:val="nil"/>
              <w:left w:val="single" w:sz="4" w:space="0" w:color="auto"/>
              <w:bottom w:val="single" w:sz="4" w:space="0" w:color="auto"/>
              <w:right w:val="single" w:sz="4" w:space="0" w:color="auto"/>
            </w:tcBorders>
            <w:vAlign w:val="center"/>
          </w:tcPr>
          <w:p w14:paraId="24C2F546" w14:textId="77777777" w:rsidR="00A96503" w:rsidRPr="003A52A5" w:rsidRDefault="00A96503" w:rsidP="00EF735A">
            <w:pPr>
              <w:jc w:val="right"/>
              <w:rPr>
                <w:rFonts w:cs="Arial"/>
                <w:sz w:val="18"/>
                <w:szCs w:val="18"/>
              </w:rPr>
            </w:pPr>
            <w:r w:rsidRPr="003A52A5">
              <w:rPr>
                <w:rFonts w:cs="Arial"/>
                <w:sz w:val="18"/>
                <w:szCs w:val="18"/>
              </w:rPr>
              <w:t>278.333</w:t>
            </w:r>
          </w:p>
        </w:tc>
        <w:tc>
          <w:tcPr>
            <w:tcW w:w="1010" w:type="dxa"/>
            <w:tcBorders>
              <w:top w:val="nil"/>
              <w:left w:val="nil"/>
              <w:bottom w:val="single" w:sz="4" w:space="0" w:color="auto"/>
              <w:right w:val="single" w:sz="4" w:space="0" w:color="auto"/>
            </w:tcBorders>
            <w:vAlign w:val="center"/>
          </w:tcPr>
          <w:p w14:paraId="664855F2" w14:textId="77777777" w:rsidR="00A96503" w:rsidRPr="003A52A5" w:rsidRDefault="00A96503" w:rsidP="00EF735A">
            <w:pPr>
              <w:jc w:val="right"/>
              <w:rPr>
                <w:rFonts w:cs="Arial"/>
                <w:sz w:val="18"/>
                <w:szCs w:val="18"/>
              </w:rPr>
            </w:pPr>
            <w:r w:rsidRPr="003A52A5">
              <w:rPr>
                <w:rFonts w:cs="Arial"/>
                <w:sz w:val="18"/>
                <w:szCs w:val="18"/>
              </w:rPr>
              <w:t>247.680</w:t>
            </w:r>
          </w:p>
        </w:tc>
        <w:tc>
          <w:tcPr>
            <w:tcW w:w="1011" w:type="dxa"/>
            <w:tcBorders>
              <w:top w:val="nil"/>
              <w:left w:val="nil"/>
              <w:bottom w:val="single" w:sz="4" w:space="0" w:color="auto"/>
              <w:right w:val="single" w:sz="4" w:space="0" w:color="auto"/>
            </w:tcBorders>
            <w:vAlign w:val="center"/>
          </w:tcPr>
          <w:p w14:paraId="001604C0" w14:textId="77777777" w:rsidR="00A96503" w:rsidRPr="003A52A5" w:rsidRDefault="00A96503" w:rsidP="00EF735A">
            <w:pPr>
              <w:jc w:val="right"/>
              <w:rPr>
                <w:rFonts w:cs="Arial"/>
                <w:sz w:val="18"/>
                <w:szCs w:val="18"/>
              </w:rPr>
            </w:pPr>
            <w:r w:rsidRPr="003A52A5">
              <w:rPr>
                <w:rFonts w:cs="Arial"/>
                <w:sz w:val="18"/>
                <w:szCs w:val="18"/>
              </w:rPr>
              <w:t>199.321</w:t>
            </w:r>
          </w:p>
        </w:tc>
        <w:tc>
          <w:tcPr>
            <w:tcW w:w="992" w:type="dxa"/>
            <w:tcBorders>
              <w:top w:val="nil"/>
              <w:left w:val="nil"/>
              <w:bottom w:val="single" w:sz="4" w:space="0" w:color="auto"/>
              <w:right w:val="single" w:sz="4" w:space="0" w:color="auto"/>
            </w:tcBorders>
            <w:vAlign w:val="center"/>
          </w:tcPr>
          <w:p w14:paraId="67C0F970" w14:textId="77777777" w:rsidR="00A96503" w:rsidRPr="003A52A5" w:rsidRDefault="00A96503" w:rsidP="00EF735A">
            <w:pPr>
              <w:jc w:val="right"/>
              <w:rPr>
                <w:rFonts w:cs="Arial"/>
                <w:sz w:val="18"/>
                <w:szCs w:val="18"/>
              </w:rPr>
            </w:pPr>
            <w:r w:rsidRPr="003A52A5">
              <w:rPr>
                <w:rFonts w:cs="Arial"/>
                <w:sz w:val="18"/>
                <w:szCs w:val="18"/>
              </w:rPr>
              <w:t>180.707</w:t>
            </w:r>
          </w:p>
        </w:tc>
        <w:tc>
          <w:tcPr>
            <w:tcW w:w="992" w:type="dxa"/>
            <w:tcBorders>
              <w:top w:val="nil"/>
              <w:left w:val="nil"/>
              <w:bottom w:val="single" w:sz="4" w:space="0" w:color="auto"/>
              <w:right w:val="single" w:sz="4" w:space="0" w:color="auto"/>
            </w:tcBorders>
            <w:vAlign w:val="center"/>
          </w:tcPr>
          <w:p w14:paraId="712E26A9" w14:textId="77777777" w:rsidR="00A96503" w:rsidRPr="003A52A5" w:rsidRDefault="00FC015C" w:rsidP="00EF735A">
            <w:pPr>
              <w:jc w:val="right"/>
              <w:rPr>
                <w:rFonts w:cs="Arial"/>
                <w:sz w:val="18"/>
                <w:szCs w:val="18"/>
              </w:rPr>
            </w:pPr>
            <w:r w:rsidRPr="003A52A5">
              <w:rPr>
                <w:rFonts w:cs="Arial"/>
                <w:sz w:val="18"/>
                <w:szCs w:val="18"/>
              </w:rPr>
              <w:t>203.181</w:t>
            </w:r>
          </w:p>
        </w:tc>
        <w:tc>
          <w:tcPr>
            <w:tcW w:w="1041" w:type="dxa"/>
            <w:tcBorders>
              <w:top w:val="nil"/>
              <w:left w:val="nil"/>
              <w:bottom w:val="single" w:sz="4" w:space="0" w:color="auto"/>
              <w:right w:val="single" w:sz="4" w:space="0" w:color="auto"/>
            </w:tcBorders>
            <w:vAlign w:val="center"/>
          </w:tcPr>
          <w:p w14:paraId="128E1B3B" w14:textId="77777777" w:rsidR="00A96503" w:rsidRPr="003A52A5" w:rsidRDefault="0044208E" w:rsidP="00EF735A">
            <w:pPr>
              <w:jc w:val="right"/>
              <w:rPr>
                <w:rFonts w:cs="Arial"/>
                <w:sz w:val="18"/>
                <w:szCs w:val="18"/>
              </w:rPr>
            </w:pPr>
            <w:r w:rsidRPr="003A52A5">
              <w:rPr>
                <w:rFonts w:cs="Arial"/>
                <w:sz w:val="18"/>
                <w:szCs w:val="18"/>
              </w:rPr>
              <w:t>167.599</w:t>
            </w:r>
          </w:p>
        </w:tc>
      </w:tr>
      <w:tr w:rsidR="00A96503" w:rsidRPr="003A52A5" w14:paraId="0E75B2DE" w14:textId="77777777" w:rsidTr="005277D2">
        <w:trPr>
          <w:trHeight w:val="300"/>
        </w:trPr>
        <w:tc>
          <w:tcPr>
            <w:tcW w:w="1858" w:type="dxa"/>
            <w:tcBorders>
              <w:top w:val="nil"/>
              <w:left w:val="single" w:sz="4" w:space="0" w:color="auto"/>
              <w:bottom w:val="single" w:sz="4" w:space="0" w:color="auto"/>
              <w:right w:val="single" w:sz="4" w:space="0" w:color="auto"/>
            </w:tcBorders>
            <w:shd w:val="clear" w:color="auto" w:fill="D5DCE4"/>
            <w:vAlign w:val="center"/>
          </w:tcPr>
          <w:p w14:paraId="47067A0A" w14:textId="77777777" w:rsidR="00A96503" w:rsidRPr="003A52A5" w:rsidRDefault="00A96503" w:rsidP="00EF735A">
            <w:pPr>
              <w:jc w:val="left"/>
              <w:rPr>
                <w:rFonts w:cs="Arial"/>
                <w:b/>
                <w:bCs/>
                <w:sz w:val="18"/>
                <w:szCs w:val="18"/>
              </w:rPr>
            </w:pPr>
            <w:r w:rsidRPr="003A52A5">
              <w:rPr>
                <w:rFonts w:cs="Arial"/>
                <w:b/>
                <w:bCs/>
                <w:sz w:val="18"/>
                <w:szCs w:val="18"/>
              </w:rPr>
              <w:t>Občinski proračun</w:t>
            </w:r>
          </w:p>
        </w:tc>
        <w:tc>
          <w:tcPr>
            <w:tcW w:w="985" w:type="dxa"/>
            <w:tcBorders>
              <w:top w:val="single" w:sz="4" w:space="0" w:color="auto"/>
              <w:left w:val="single" w:sz="4" w:space="0" w:color="auto"/>
              <w:bottom w:val="single" w:sz="4" w:space="0" w:color="auto"/>
              <w:right w:val="single" w:sz="4" w:space="0" w:color="auto"/>
            </w:tcBorders>
            <w:shd w:val="clear" w:color="000000" w:fill="FFFFFF"/>
            <w:vAlign w:val="center"/>
          </w:tcPr>
          <w:p w14:paraId="5E849E48" w14:textId="77777777" w:rsidR="00A96503" w:rsidRPr="003A52A5" w:rsidRDefault="00A96503" w:rsidP="00EF735A">
            <w:pPr>
              <w:jc w:val="right"/>
              <w:rPr>
                <w:rFonts w:cs="Arial"/>
                <w:sz w:val="18"/>
                <w:szCs w:val="18"/>
              </w:rPr>
            </w:pPr>
            <w:r w:rsidRPr="003A52A5">
              <w:rPr>
                <w:rFonts w:cs="Arial"/>
                <w:sz w:val="18"/>
                <w:szCs w:val="18"/>
              </w:rPr>
              <w:t>2.850.339</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20B92964" w14:textId="77777777" w:rsidR="00A96503" w:rsidRPr="003A52A5" w:rsidRDefault="00A96503" w:rsidP="00EF735A">
            <w:pPr>
              <w:jc w:val="right"/>
              <w:rPr>
                <w:rFonts w:cs="Arial"/>
                <w:sz w:val="18"/>
                <w:szCs w:val="18"/>
              </w:rPr>
            </w:pPr>
            <w:r w:rsidRPr="003A52A5">
              <w:rPr>
                <w:rFonts w:cs="Arial"/>
                <w:sz w:val="18"/>
                <w:szCs w:val="18"/>
              </w:rPr>
              <w:t>1.449.431</w:t>
            </w:r>
          </w:p>
        </w:tc>
        <w:tc>
          <w:tcPr>
            <w:tcW w:w="1010" w:type="dxa"/>
            <w:tcBorders>
              <w:top w:val="nil"/>
              <w:left w:val="nil"/>
              <w:bottom w:val="single" w:sz="4" w:space="0" w:color="auto"/>
              <w:right w:val="single" w:sz="4" w:space="0" w:color="auto"/>
            </w:tcBorders>
            <w:shd w:val="clear" w:color="000000" w:fill="FFFFFF"/>
            <w:vAlign w:val="center"/>
          </w:tcPr>
          <w:p w14:paraId="7A75B71E" w14:textId="77777777" w:rsidR="00A96503" w:rsidRPr="003A52A5" w:rsidRDefault="00A96503" w:rsidP="00EF735A">
            <w:pPr>
              <w:jc w:val="right"/>
              <w:rPr>
                <w:rFonts w:cs="Arial"/>
                <w:sz w:val="18"/>
                <w:szCs w:val="18"/>
              </w:rPr>
            </w:pPr>
            <w:r w:rsidRPr="003A52A5">
              <w:rPr>
                <w:rFonts w:cs="Arial"/>
                <w:sz w:val="18"/>
                <w:szCs w:val="18"/>
              </w:rPr>
              <w:t>1.623.618</w:t>
            </w:r>
          </w:p>
        </w:tc>
        <w:tc>
          <w:tcPr>
            <w:tcW w:w="1011" w:type="dxa"/>
            <w:tcBorders>
              <w:top w:val="nil"/>
              <w:left w:val="nil"/>
              <w:bottom w:val="single" w:sz="4" w:space="0" w:color="auto"/>
              <w:right w:val="single" w:sz="4" w:space="0" w:color="auto"/>
            </w:tcBorders>
            <w:shd w:val="clear" w:color="000000" w:fill="FFFFFF"/>
            <w:vAlign w:val="center"/>
          </w:tcPr>
          <w:p w14:paraId="10FEF948" w14:textId="77777777" w:rsidR="00A96503" w:rsidRPr="003A52A5" w:rsidRDefault="00A96503" w:rsidP="00EF735A">
            <w:pPr>
              <w:jc w:val="right"/>
              <w:rPr>
                <w:rFonts w:cs="Arial"/>
                <w:sz w:val="18"/>
                <w:szCs w:val="18"/>
              </w:rPr>
            </w:pPr>
            <w:r w:rsidRPr="003A52A5">
              <w:rPr>
                <w:rFonts w:cs="Arial"/>
                <w:sz w:val="18"/>
                <w:szCs w:val="18"/>
              </w:rPr>
              <w:t>1.978.972</w:t>
            </w:r>
          </w:p>
        </w:tc>
        <w:tc>
          <w:tcPr>
            <w:tcW w:w="992" w:type="dxa"/>
            <w:tcBorders>
              <w:top w:val="nil"/>
              <w:left w:val="nil"/>
              <w:bottom w:val="single" w:sz="4" w:space="0" w:color="auto"/>
              <w:right w:val="single" w:sz="4" w:space="0" w:color="auto"/>
            </w:tcBorders>
            <w:shd w:val="clear" w:color="000000" w:fill="FFFFFF"/>
            <w:vAlign w:val="center"/>
          </w:tcPr>
          <w:p w14:paraId="20ADEA8B" w14:textId="77777777" w:rsidR="00A96503" w:rsidRPr="003A52A5" w:rsidRDefault="00A96503" w:rsidP="00EF735A">
            <w:pPr>
              <w:jc w:val="right"/>
              <w:rPr>
                <w:rFonts w:cs="Arial"/>
                <w:sz w:val="18"/>
                <w:szCs w:val="18"/>
              </w:rPr>
            </w:pPr>
            <w:r w:rsidRPr="003A52A5">
              <w:rPr>
                <w:rFonts w:cs="Arial"/>
                <w:sz w:val="18"/>
                <w:szCs w:val="18"/>
              </w:rPr>
              <w:t>1.903.944</w:t>
            </w:r>
          </w:p>
        </w:tc>
        <w:tc>
          <w:tcPr>
            <w:tcW w:w="992" w:type="dxa"/>
            <w:tcBorders>
              <w:top w:val="nil"/>
              <w:left w:val="nil"/>
              <w:bottom w:val="single" w:sz="4" w:space="0" w:color="auto"/>
              <w:right w:val="single" w:sz="4" w:space="0" w:color="auto"/>
            </w:tcBorders>
            <w:shd w:val="clear" w:color="000000" w:fill="FFFFFF"/>
            <w:vAlign w:val="center"/>
          </w:tcPr>
          <w:p w14:paraId="4B0B907E" w14:textId="77777777" w:rsidR="00A96503" w:rsidRPr="003A52A5" w:rsidRDefault="00FC015C" w:rsidP="00EF735A">
            <w:pPr>
              <w:jc w:val="right"/>
              <w:rPr>
                <w:rFonts w:cs="Arial"/>
                <w:sz w:val="18"/>
                <w:szCs w:val="18"/>
              </w:rPr>
            </w:pPr>
            <w:r w:rsidRPr="003A52A5">
              <w:rPr>
                <w:rFonts w:cs="Arial"/>
                <w:sz w:val="18"/>
                <w:szCs w:val="18"/>
              </w:rPr>
              <w:t>1.669.914</w:t>
            </w:r>
          </w:p>
        </w:tc>
        <w:tc>
          <w:tcPr>
            <w:tcW w:w="1041" w:type="dxa"/>
            <w:tcBorders>
              <w:top w:val="nil"/>
              <w:left w:val="nil"/>
              <w:bottom w:val="single" w:sz="4" w:space="0" w:color="auto"/>
              <w:right w:val="single" w:sz="4" w:space="0" w:color="auto"/>
            </w:tcBorders>
            <w:shd w:val="clear" w:color="000000" w:fill="FFFFFF"/>
            <w:vAlign w:val="center"/>
          </w:tcPr>
          <w:p w14:paraId="15B2FBE1" w14:textId="77777777" w:rsidR="00A96503" w:rsidRPr="003A52A5" w:rsidRDefault="0044208E" w:rsidP="00EF735A">
            <w:pPr>
              <w:jc w:val="right"/>
              <w:rPr>
                <w:rFonts w:cs="Arial"/>
                <w:sz w:val="18"/>
                <w:szCs w:val="18"/>
              </w:rPr>
            </w:pPr>
            <w:r w:rsidRPr="003A52A5">
              <w:rPr>
                <w:rFonts w:cs="Arial"/>
                <w:sz w:val="18"/>
                <w:szCs w:val="18"/>
              </w:rPr>
              <w:t>1.638.723</w:t>
            </w:r>
          </w:p>
        </w:tc>
      </w:tr>
    </w:tbl>
    <w:p w14:paraId="545BB71A" w14:textId="77777777" w:rsidR="007D37F1" w:rsidRPr="003A52A5" w:rsidRDefault="007D37F1" w:rsidP="00EF735A">
      <w:pPr>
        <w:pStyle w:val="Telobesedila2"/>
        <w:spacing w:after="0" w:line="240" w:lineRule="auto"/>
        <w:jc w:val="both"/>
        <w:rPr>
          <w:rFonts w:cs="Arial"/>
          <w:sz w:val="22"/>
          <w:szCs w:val="22"/>
          <w:lang w:val="sl-SI"/>
        </w:rPr>
      </w:pPr>
    </w:p>
    <w:p w14:paraId="5D8C5316" w14:textId="77777777" w:rsidR="00BA4DF6" w:rsidRPr="003A52A5" w:rsidRDefault="00BA4DF6" w:rsidP="00EF735A">
      <w:pPr>
        <w:pStyle w:val="Telobesedila2"/>
        <w:spacing w:after="0" w:line="240" w:lineRule="auto"/>
        <w:jc w:val="both"/>
        <w:rPr>
          <w:rFonts w:cs="Arial"/>
          <w:sz w:val="22"/>
          <w:szCs w:val="22"/>
          <w:lang w:val="sl-SI"/>
        </w:rPr>
      </w:pPr>
      <w:r w:rsidRPr="003A52A5">
        <w:rPr>
          <w:rFonts w:cs="Arial"/>
          <w:sz w:val="22"/>
          <w:szCs w:val="22"/>
          <w:lang w:val="sl-SI"/>
        </w:rPr>
        <w:t xml:space="preserve">S predlogom te uredbe se višina </w:t>
      </w:r>
      <w:proofErr w:type="spellStart"/>
      <w:r w:rsidRPr="003A52A5">
        <w:rPr>
          <w:rFonts w:cs="Arial"/>
          <w:sz w:val="22"/>
          <w:szCs w:val="22"/>
          <w:lang w:val="sl-SI"/>
        </w:rPr>
        <w:t>okoljske</w:t>
      </w:r>
      <w:proofErr w:type="spellEnd"/>
      <w:r w:rsidRPr="003A52A5">
        <w:rPr>
          <w:rFonts w:cs="Arial"/>
          <w:sz w:val="22"/>
          <w:szCs w:val="22"/>
          <w:lang w:val="sl-SI"/>
        </w:rPr>
        <w:t xml:space="preserve"> dajatve za onesnaževanje okolja zaradi odlaganja odpadkov na odlagališčih </w:t>
      </w:r>
      <w:r w:rsidR="00FC015C" w:rsidRPr="003A52A5">
        <w:rPr>
          <w:rFonts w:cs="Arial"/>
          <w:sz w:val="22"/>
          <w:szCs w:val="22"/>
          <w:lang w:val="sl-SI"/>
        </w:rPr>
        <w:t xml:space="preserve">postopoma zvišuje </w:t>
      </w:r>
      <w:r w:rsidR="007D37F1" w:rsidRPr="003A52A5">
        <w:rPr>
          <w:rFonts w:cs="Arial"/>
          <w:sz w:val="22"/>
          <w:szCs w:val="22"/>
          <w:lang w:val="sl-SI"/>
        </w:rPr>
        <w:t>in sicer</w:t>
      </w:r>
      <w:r w:rsidRPr="003A52A5">
        <w:rPr>
          <w:rFonts w:cs="Arial"/>
          <w:sz w:val="22"/>
          <w:szCs w:val="22"/>
          <w:lang w:val="sl-SI"/>
        </w:rPr>
        <w:t>:</w:t>
      </w:r>
    </w:p>
    <w:p w14:paraId="6B5C4962" w14:textId="2F78B6B5" w:rsidR="00BA4DF6" w:rsidRPr="00C44C0C" w:rsidRDefault="007D37F1" w:rsidP="008328E9">
      <w:pPr>
        <w:pStyle w:val="Telobesedila2"/>
        <w:numPr>
          <w:ilvl w:val="0"/>
          <w:numId w:val="18"/>
        </w:numPr>
        <w:spacing w:after="0" w:line="240" w:lineRule="auto"/>
        <w:jc w:val="both"/>
        <w:rPr>
          <w:rFonts w:cs="Arial"/>
          <w:sz w:val="22"/>
          <w:szCs w:val="22"/>
          <w:lang w:val="sl-SI"/>
        </w:rPr>
      </w:pPr>
      <w:r w:rsidRPr="00C44C0C">
        <w:rPr>
          <w:rFonts w:cs="Arial"/>
          <w:sz w:val="22"/>
          <w:szCs w:val="22"/>
          <w:lang w:val="sl-SI"/>
        </w:rPr>
        <w:lastRenderedPageBreak/>
        <w:t xml:space="preserve">z </w:t>
      </w:r>
      <w:r w:rsidR="0047607F" w:rsidRPr="00C44C0C">
        <w:rPr>
          <w:rFonts w:cs="Arial"/>
          <w:sz w:val="22"/>
          <w:szCs w:val="22"/>
          <w:lang w:val="sl-SI"/>
        </w:rPr>
        <w:t xml:space="preserve">veljavnih </w:t>
      </w:r>
      <w:r w:rsidRPr="00C44C0C">
        <w:rPr>
          <w:rFonts w:cs="Arial"/>
          <w:sz w:val="22"/>
          <w:szCs w:val="22"/>
          <w:lang w:val="sl-SI"/>
        </w:rPr>
        <w:t xml:space="preserve">2,2 </w:t>
      </w:r>
      <w:r w:rsidR="00FC015C" w:rsidRPr="00C44C0C">
        <w:rPr>
          <w:rFonts w:cs="Arial"/>
          <w:sz w:val="22"/>
          <w:szCs w:val="22"/>
          <w:lang w:val="sl-SI"/>
        </w:rPr>
        <w:t>€/t</w:t>
      </w:r>
      <w:r w:rsidRPr="00C44C0C">
        <w:rPr>
          <w:rFonts w:cs="Arial"/>
          <w:sz w:val="22"/>
          <w:szCs w:val="22"/>
          <w:lang w:val="sl-SI"/>
        </w:rPr>
        <w:t xml:space="preserve"> </w:t>
      </w:r>
      <w:r w:rsidR="0044208E" w:rsidRPr="00C44C0C">
        <w:rPr>
          <w:rFonts w:cs="Arial"/>
          <w:sz w:val="22"/>
          <w:szCs w:val="22"/>
          <w:lang w:val="sl-SI"/>
        </w:rPr>
        <w:t xml:space="preserve">v </w:t>
      </w:r>
      <w:r w:rsidR="0047607F" w:rsidRPr="00C44C0C">
        <w:rPr>
          <w:rFonts w:cs="Arial"/>
          <w:sz w:val="22"/>
          <w:szCs w:val="22"/>
          <w:lang w:val="sl-SI"/>
        </w:rPr>
        <w:t xml:space="preserve">letu </w:t>
      </w:r>
      <w:r w:rsidR="0044208E" w:rsidRPr="00C44C0C">
        <w:rPr>
          <w:rFonts w:cs="Arial"/>
          <w:sz w:val="22"/>
          <w:szCs w:val="22"/>
          <w:lang w:val="sl-SI"/>
        </w:rPr>
        <w:t xml:space="preserve">2023 </w:t>
      </w:r>
      <w:r w:rsidRPr="00C44C0C">
        <w:rPr>
          <w:rFonts w:cs="Arial"/>
          <w:sz w:val="22"/>
          <w:szCs w:val="22"/>
          <w:lang w:val="sl-SI"/>
        </w:rPr>
        <w:t xml:space="preserve">na </w:t>
      </w:r>
      <w:r w:rsidR="0044208E" w:rsidRPr="00C44C0C">
        <w:rPr>
          <w:rFonts w:cs="Arial"/>
          <w:sz w:val="22"/>
          <w:szCs w:val="22"/>
          <w:lang w:val="sl-SI"/>
        </w:rPr>
        <w:t xml:space="preserve">5 </w:t>
      </w:r>
      <w:r w:rsidR="00FC015C" w:rsidRPr="00C44C0C">
        <w:rPr>
          <w:rFonts w:cs="Arial"/>
          <w:sz w:val="22"/>
          <w:szCs w:val="22"/>
          <w:lang w:val="sl-SI"/>
        </w:rPr>
        <w:t>€/t</w:t>
      </w:r>
      <w:r w:rsidR="0044208E" w:rsidRPr="00C44C0C">
        <w:rPr>
          <w:rFonts w:cs="Arial"/>
          <w:sz w:val="22"/>
          <w:szCs w:val="22"/>
          <w:lang w:val="sl-SI"/>
        </w:rPr>
        <w:t xml:space="preserve"> in v </w:t>
      </w:r>
      <w:r w:rsidR="0047607F" w:rsidRPr="00C44C0C">
        <w:rPr>
          <w:rFonts w:cs="Arial"/>
          <w:sz w:val="22"/>
          <w:szCs w:val="22"/>
          <w:lang w:val="sl-SI"/>
        </w:rPr>
        <w:t xml:space="preserve">letu </w:t>
      </w:r>
      <w:r w:rsidR="0044208E" w:rsidRPr="00C44C0C">
        <w:rPr>
          <w:rFonts w:cs="Arial"/>
          <w:sz w:val="22"/>
          <w:szCs w:val="22"/>
          <w:lang w:val="sl-SI"/>
        </w:rPr>
        <w:t>202</w:t>
      </w:r>
      <w:r w:rsidR="00FC015C" w:rsidRPr="00C44C0C">
        <w:rPr>
          <w:rFonts w:cs="Arial"/>
          <w:sz w:val="22"/>
          <w:szCs w:val="22"/>
          <w:lang w:val="sl-SI"/>
        </w:rPr>
        <w:t>8</w:t>
      </w:r>
      <w:r w:rsidR="0044208E" w:rsidRPr="00C44C0C">
        <w:rPr>
          <w:rFonts w:cs="Arial"/>
          <w:sz w:val="22"/>
          <w:szCs w:val="22"/>
          <w:lang w:val="sl-SI"/>
        </w:rPr>
        <w:t xml:space="preserve"> na </w:t>
      </w:r>
      <w:r w:rsidR="005277D2" w:rsidRPr="00C44C0C">
        <w:rPr>
          <w:rFonts w:cs="Arial"/>
          <w:sz w:val="22"/>
          <w:szCs w:val="22"/>
          <w:lang w:val="sl-SI"/>
        </w:rPr>
        <w:t>8</w:t>
      </w:r>
      <w:r w:rsidR="00FC015C" w:rsidRPr="00C44C0C">
        <w:rPr>
          <w:rFonts w:cs="Arial"/>
          <w:sz w:val="22"/>
          <w:szCs w:val="22"/>
          <w:lang w:val="sl-SI"/>
        </w:rPr>
        <w:t xml:space="preserve"> €/t</w:t>
      </w:r>
      <w:r w:rsidR="00BA4DF6" w:rsidRPr="00C44C0C">
        <w:rPr>
          <w:rFonts w:cs="Arial"/>
          <w:sz w:val="22"/>
          <w:szCs w:val="22"/>
          <w:lang w:val="sl-SI"/>
        </w:rPr>
        <w:t xml:space="preserve"> odloženih inertnih odpadkov</w:t>
      </w:r>
      <w:r w:rsidR="0000121D" w:rsidRPr="00C44C0C">
        <w:rPr>
          <w:rFonts w:cs="Arial"/>
          <w:sz w:val="22"/>
          <w:szCs w:val="22"/>
          <w:lang w:val="sl-SI"/>
        </w:rPr>
        <w:t>,</w:t>
      </w:r>
    </w:p>
    <w:p w14:paraId="4E781F00" w14:textId="138E2E40" w:rsidR="00BA4DF6" w:rsidRPr="00C44C0C" w:rsidRDefault="007D37F1" w:rsidP="0047607F">
      <w:pPr>
        <w:pStyle w:val="Telobesedila2"/>
        <w:spacing w:after="0" w:line="240" w:lineRule="auto"/>
        <w:ind w:left="720"/>
        <w:jc w:val="both"/>
        <w:rPr>
          <w:rFonts w:cs="Arial"/>
          <w:sz w:val="22"/>
          <w:szCs w:val="22"/>
          <w:lang w:val="sl-SI"/>
        </w:rPr>
      </w:pPr>
      <w:r w:rsidRPr="00C44C0C">
        <w:rPr>
          <w:rFonts w:cs="Arial"/>
          <w:sz w:val="22"/>
          <w:szCs w:val="22"/>
          <w:lang w:val="sl-SI"/>
        </w:rPr>
        <w:t>z</w:t>
      </w:r>
      <w:r w:rsidR="0047607F" w:rsidRPr="00C44C0C">
        <w:rPr>
          <w:rFonts w:cs="Arial"/>
          <w:sz w:val="22"/>
          <w:szCs w:val="22"/>
          <w:lang w:val="sl-SI"/>
        </w:rPr>
        <w:t xml:space="preserve"> veljavnih</w:t>
      </w:r>
      <w:r w:rsidRPr="00C44C0C">
        <w:rPr>
          <w:rFonts w:cs="Arial"/>
          <w:sz w:val="22"/>
          <w:szCs w:val="22"/>
          <w:lang w:val="sl-SI"/>
        </w:rPr>
        <w:t xml:space="preserve"> 11 </w:t>
      </w:r>
      <w:r w:rsidR="00FC015C" w:rsidRPr="00C44C0C">
        <w:rPr>
          <w:rFonts w:cs="Arial"/>
          <w:sz w:val="22"/>
          <w:szCs w:val="22"/>
          <w:lang w:val="sl-SI"/>
        </w:rPr>
        <w:t xml:space="preserve">€/t v </w:t>
      </w:r>
      <w:r w:rsidR="0047607F" w:rsidRPr="00C44C0C">
        <w:rPr>
          <w:rFonts w:cs="Arial"/>
          <w:sz w:val="22"/>
          <w:szCs w:val="22"/>
          <w:lang w:val="sl-SI"/>
        </w:rPr>
        <w:t xml:space="preserve">letu </w:t>
      </w:r>
      <w:r w:rsidR="00FC015C" w:rsidRPr="00C44C0C">
        <w:rPr>
          <w:rFonts w:cs="Arial"/>
          <w:sz w:val="22"/>
          <w:szCs w:val="22"/>
          <w:lang w:val="sl-SI"/>
        </w:rPr>
        <w:t>2023</w:t>
      </w:r>
      <w:r w:rsidRPr="00C44C0C">
        <w:rPr>
          <w:rFonts w:cs="Arial"/>
          <w:sz w:val="22"/>
          <w:szCs w:val="22"/>
          <w:lang w:val="sl-SI"/>
        </w:rPr>
        <w:t xml:space="preserve"> na </w:t>
      </w:r>
      <w:r w:rsidR="00FC015C" w:rsidRPr="00C44C0C">
        <w:rPr>
          <w:rFonts w:cs="Arial"/>
          <w:sz w:val="22"/>
          <w:szCs w:val="22"/>
          <w:lang w:val="sl-SI"/>
        </w:rPr>
        <w:t xml:space="preserve">25 €/t in v </w:t>
      </w:r>
      <w:r w:rsidR="0047607F" w:rsidRPr="00C44C0C">
        <w:rPr>
          <w:rFonts w:cs="Arial"/>
          <w:sz w:val="22"/>
          <w:szCs w:val="22"/>
          <w:lang w:val="sl-SI"/>
        </w:rPr>
        <w:t xml:space="preserve">letu </w:t>
      </w:r>
      <w:r w:rsidR="00FC015C" w:rsidRPr="00C44C0C">
        <w:rPr>
          <w:rFonts w:cs="Arial"/>
          <w:sz w:val="22"/>
          <w:szCs w:val="22"/>
          <w:lang w:val="sl-SI"/>
        </w:rPr>
        <w:t xml:space="preserve">2028 na </w:t>
      </w:r>
      <w:r w:rsidR="005277D2" w:rsidRPr="00C44C0C">
        <w:rPr>
          <w:rFonts w:cs="Arial"/>
          <w:sz w:val="22"/>
          <w:szCs w:val="22"/>
          <w:lang w:val="sl-SI"/>
        </w:rPr>
        <w:t>4</w:t>
      </w:r>
      <w:r w:rsidR="00FC015C" w:rsidRPr="00C44C0C">
        <w:rPr>
          <w:rFonts w:cs="Arial"/>
          <w:sz w:val="22"/>
          <w:szCs w:val="22"/>
          <w:lang w:val="sl-SI"/>
        </w:rPr>
        <w:t>0 €/t</w:t>
      </w:r>
      <w:r w:rsidR="00BA4DF6" w:rsidRPr="00C44C0C">
        <w:rPr>
          <w:rFonts w:cs="Arial"/>
          <w:sz w:val="22"/>
          <w:szCs w:val="22"/>
          <w:lang w:val="sl-SI"/>
        </w:rPr>
        <w:t xml:space="preserve"> odloženih nenevarnih odpadkov: </w:t>
      </w:r>
      <w:r w:rsidR="0000121D" w:rsidRPr="00C44C0C">
        <w:rPr>
          <w:rFonts w:cs="Arial"/>
          <w:sz w:val="22"/>
          <w:szCs w:val="22"/>
          <w:lang w:val="sl-SI"/>
        </w:rPr>
        <w:t>in</w:t>
      </w:r>
    </w:p>
    <w:p w14:paraId="714A1A24" w14:textId="2F041E93" w:rsidR="00BA4DF6" w:rsidRPr="00C44C0C" w:rsidRDefault="007D37F1" w:rsidP="008328E9">
      <w:pPr>
        <w:pStyle w:val="Telobesedila2"/>
        <w:numPr>
          <w:ilvl w:val="0"/>
          <w:numId w:val="18"/>
        </w:numPr>
        <w:spacing w:after="0" w:line="240" w:lineRule="auto"/>
        <w:jc w:val="both"/>
        <w:rPr>
          <w:rFonts w:cs="Arial"/>
          <w:sz w:val="22"/>
          <w:szCs w:val="22"/>
          <w:lang w:val="sl-SI"/>
        </w:rPr>
      </w:pPr>
      <w:r w:rsidRPr="00C44C0C">
        <w:rPr>
          <w:rFonts w:cs="Arial"/>
          <w:sz w:val="22"/>
          <w:szCs w:val="22"/>
          <w:lang w:val="sl-SI"/>
        </w:rPr>
        <w:t xml:space="preserve">z </w:t>
      </w:r>
      <w:r w:rsidR="0047607F" w:rsidRPr="00C44C0C">
        <w:rPr>
          <w:rFonts w:cs="Arial"/>
          <w:sz w:val="22"/>
          <w:szCs w:val="22"/>
          <w:lang w:val="sl-SI"/>
        </w:rPr>
        <w:t xml:space="preserve">veljavnih </w:t>
      </w:r>
      <w:r w:rsidRPr="00C44C0C">
        <w:rPr>
          <w:rFonts w:cs="Arial"/>
          <w:sz w:val="22"/>
          <w:szCs w:val="22"/>
          <w:lang w:val="sl-SI"/>
        </w:rPr>
        <w:t xml:space="preserve">22 </w:t>
      </w:r>
      <w:r w:rsidR="00FC015C" w:rsidRPr="00C44C0C">
        <w:rPr>
          <w:rFonts w:cs="Arial"/>
          <w:sz w:val="22"/>
          <w:szCs w:val="22"/>
          <w:lang w:val="sl-SI"/>
        </w:rPr>
        <w:t xml:space="preserve">€/t v </w:t>
      </w:r>
      <w:r w:rsidR="0047607F" w:rsidRPr="00C44C0C">
        <w:rPr>
          <w:rFonts w:cs="Arial"/>
          <w:sz w:val="22"/>
          <w:szCs w:val="22"/>
          <w:lang w:val="sl-SI"/>
        </w:rPr>
        <w:t xml:space="preserve">4letu </w:t>
      </w:r>
      <w:r w:rsidR="00FC015C" w:rsidRPr="00C44C0C">
        <w:rPr>
          <w:rFonts w:cs="Arial"/>
          <w:sz w:val="22"/>
          <w:szCs w:val="22"/>
          <w:lang w:val="sl-SI"/>
        </w:rPr>
        <w:t xml:space="preserve">2023 na 50 €/t in v </w:t>
      </w:r>
      <w:r w:rsidR="0047607F" w:rsidRPr="00C44C0C">
        <w:rPr>
          <w:rFonts w:cs="Arial"/>
          <w:sz w:val="22"/>
          <w:szCs w:val="22"/>
          <w:lang w:val="sl-SI"/>
        </w:rPr>
        <w:t xml:space="preserve">letu </w:t>
      </w:r>
      <w:r w:rsidR="00FC015C" w:rsidRPr="00C44C0C">
        <w:rPr>
          <w:rFonts w:cs="Arial"/>
          <w:sz w:val="22"/>
          <w:szCs w:val="22"/>
          <w:lang w:val="sl-SI"/>
        </w:rPr>
        <w:t xml:space="preserve">2028 na </w:t>
      </w:r>
      <w:r w:rsidR="005277D2" w:rsidRPr="00C44C0C">
        <w:rPr>
          <w:rFonts w:cs="Arial"/>
          <w:sz w:val="22"/>
          <w:szCs w:val="22"/>
          <w:lang w:val="sl-SI"/>
        </w:rPr>
        <w:t>8</w:t>
      </w:r>
      <w:r w:rsidR="00FC015C" w:rsidRPr="00C44C0C">
        <w:rPr>
          <w:rFonts w:cs="Arial"/>
          <w:sz w:val="22"/>
          <w:szCs w:val="22"/>
          <w:lang w:val="sl-SI"/>
        </w:rPr>
        <w:t xml:space="preserve">0 €/t </w:t>
      </w:r>
      <w:r w:rsidR="00BA4DF6" w:rsidRPr="00C44C0C">
        <w:rPr>
          <w:rFonts w:cs="Arial"/>
          <w:sz w:val="22"/>
          <w:szCs w:val="22"/>
          <w:lang w:val="sl-SI"/>
        </w:rPr>
        <w:t>odloženih nevarnih odpadkov.</w:t>
      </w:r>
    </w:p>
    <w:p w14:paraId="42D9BA6F" w14:textId="77777777" w:rsidR="00BA4DF6" w:rsidRPr="003A52A5" w:rsidRDefault="00BA4DF6" w:rsidP="00EF735A">
      <w:pPr>
        <w:pStyle w:val="Telobesedila2"/>
        <w:spacing w:after="0" w:line="240" w:lineRule="auto"/>
        <w:ind w:left="720"/>
        <w:jc w:val="both"/>
        <w:rPr>
          <w:rFonts w:cs="Arial"/>
          <w:sz w:val="22"/>
          <w:szCs w:val="22"/>
          <w:lang w:val="sl-SI"/>
        </w:rPr>
      </w:pPr>
    </w:p>
    <w:p w14:paraId="0807274D" w14:textId="45E832FE" w:rsidR="00B14598" w:rsidRDefault="005277D2" w:rsidP="005F0EC7">
      <w:pPr>
        <w:rPr>
          <w:rFonts w:cs="Arial"/>
          <w:color w:val="000000"/>
          <w:szCs w:val="20"/>
        </w:rPr>
      </w:pPr>
      <w:r w:rsidRPr="003A52A5">
        <w:rPr>
          <w:rFonts w:cs="Arial"/>
          <w:color w:val="000000"/>
          <w:szCs w:val="20"/>
        </w:rPr>
        <w:t xml:space="preserve">S takim postopnim povišanjem </w:t>
      </w:r>
      <w:proofErr w:type="spellStart"/>
      <w:r w:rsidRPr="003A52A5">
        <w:rPr>
          <w:rFonts w:cs="Arial"/>
          <w:color w:val="000000"/>
          <w:szCs w:val="20"/>
        </w:rPr>
        <w:t>okoljske</w:t>
      </w:r>
      <w:proofErr w:type="spellEnd"/>
      <w:r w:rsidRPr="003A52A5">
        <w:rPr>
          <w:rFonts w:cs="Arial"/>
          <w:color w:val="000000"/>
          <w:szCs w:val="20"/>
        </w:rPr>
        <w:t xml:space="preserve"> dajatve bo Republika Slovenija </w:t>
      </w:r>
      <w:r w:rsidRPr="00B14598">
        <w:rPr>
          <w:rFonts w:cs="Arial"/>
          <w:color w:val="000000"/>
          <w:szCs w:val="20"/>
        </w:rPr>
        <w:t>v letu 2028</w:t>
      </w:r>
      <w:r w:rsidRPr="003A52A5">
        <w:rPr>
          <w:rFonts w:cs="Arial"/>
          <w:color w:val="000000"/>
          <w:szCs w:val="20"/>
        </w:rPr>
        <w:t xml:space="preserve"> po višini </w:t>
      </w:r>
      <w:proofErr w:type="spellStart"/>
      <w:r w:rsidRPr="003A52A5">
        <w:rPr>
          <w:rFonts w:cs="Arial"/>
          <w:color w:val="000000"/>
          <w:szCs w:val="20"/>
        </w:rPr>
        <w:t>okoljske</w:t>
      </w:r>
      <w:proofErr w:type="spellEnd"/>
      <w:r w:rsidRPr="003A52A5">
        <w:rPr>
          <w:rFonts w:cs="Arial"/>
          <w:color w:val="000000"/>
          <w:szCs w:val="20"/>
        </w:rPr>
        <w:t xml:space="preserve"> dajatve še vedno v sredini </w:t>
      </w:r>
      <w:r w:rsidR="00C44C0C">
        <w:rPr>
          <w:rFonts w:cs="Arial"/>
          <w:color w:val="000000"/>
          <w:szCs w:val="20"/>
        </w:rPr>
        <w:t xml:space="preserve">med </w:t>
      </w:r>
      <w:r w:rsidRPr="003A52A5">
        <w:rPr>
          <w:rFonts w:cs="Arial"/>
          <w:color w:val="000000"/>
          <w:szCs w:val="20"/>
        </w:rPr>
        <w:t>držav</w:t>
      </w:r>
      <w:r w:rsidR="00C44C0C">
        <w:rPr>
          <w:rFonts w:cs="Arial"/>
          <w:color w:val="000000"/>
          <w:szCs w:val="20"/>
        </w:rPr>
        <w:t>ami članicami EU</w:t>
      </w:r>
      <w:r w:rsidRPr="003A52A5">
        <w:rPr>
          <w:rFonts w:cs="Arial"/>
          <w:color w:val="000000"/>
          <w:szCs w:val="20"/>
        </w:rPr>
        <w:t xml:space="preserve"> (glede na podatke 2017).</w:t>
      </w:r>
      <w:r w:rsidR="005F0EC7">
        <w:rPr>
          <w:rFonts w:cs="Arial"/>
          <w:color w:val="000000"/>
          <w:szCs w:val="20"/>
        </w:rPr>
        <w:t xml:space="preserve"> </w:t>
      </w:r>
    </w:p>
    <w:p w14:paraId="3812B017" w14:textId="77777777" w:rsidR="00B14598" w:rsidRDefault="00B14598" w:rsidP="00EF735A">
      <w:pPr>
        <w:rPr>
          <w:rFonts w:cs="Arial"/>
          <w:color w:val="000000"/>
          <w:szCs w:val="20"/>
        </w:rPr>
      </w:pPr>
    </w:p>
    <w:p w14:paraId="55A73C3D" w14:textId="5143AB3C" w:rsidR="005277D2" w:rsidRPr="003A52A5" w:rsidRDefault="00B14598" w:rsidP="00EF735A">
      <w:pPr>
        <w:rPr>
          <w:rFonts w:cs="Arial"/>
          <w:color w:val="000000"/>
          <w:szCs w:val="20"/>
        </w:rPr>
      </w:pPr>
      <w:r w:rsidRPr="00B14598">
        <w:rPr>
          <w:rFonts w:cs="Arial"/>
          <w:color w:val="000000"/>
          <w:szCs w:val="20"/>
        </w:rPr>
        <w:t>Povprečn</w:t>
      </w:r>
      <w:r>
        <w:rPr>
          <w:rFonts w:cs="Arial"/>
          <w:color w:val="000000"/>
          <w:szCs w:val="20"/>
        </w:rPr>
        <w:t>a</w:t>
      </w:r>
      <w:r w:rsidRPr="00B14598">
        <w:rPr>
          <w:rFonts w:cs="Arial"/>
          <w:color w:val="000000"/>
          <w:szCs w:val="20"/>
        </w:rPr>
        <w:t xml:space="preserve"> cen</w:t>
      </w:r>
      <w:r>
        <w:rPr>
          <w:rFonts w:cs="Arial"/>
          <w:color w:val="000000"/>
          <w:szCs w:val="20"/>
        </w:rPr>
        <w:t>a</w:t>
      </w:r>
      <w:r w:rsidRPr="00B14598">
        <w:rPr>
          <w:rFonts w:cs="Arial"/>
          <w:color w:val="000000"/>
          <w:szCs w:val="20"/>
        </w:rPr>
        <w:t xml:space="preserve"> storitv</w:t>
      </w:r>
      <w:r>
        <w:rPr>
          <w:rFonts w:cs="Arial"/>
          <w:color w:val="000000"/>
          <w:szCs w:val="20"/>
        </w:rPr>
        <w:t>e</w:t>
      </w:r>
      <w:r w:rsidRPr="00B14598">
        <w:rPr>
          <w:rFonts w:cs="Arial"/>
          <w:color w:val="000000"/>
          <w:szCs w:val="20"/>
        </w:rPr>
        <w:t xml:space="preserve"> javn</w:t>
      </w:r>
      <w:r>
        <w:rPr>
          <w:rFonts w:cs="Arial"/>
          <w:color w:val="000000"/>
          <w:szCs w:val="20"/>
        </w:rPr>
        <w:t>e</w:t>
      </w:r>
      <w:r w:rsidRPr="00B14598">
        <w:rPr>
          <w:rFonts w:cs="Arial"/>
          <w:color w:val="000000"/>
          <w:szCs w:val="20"/>
        </w:rPr>
        <w:t xml:space="preserve"> služb</w:t>
      </w:r>
      <w:r>
        <w:rPr>
          <w:rFonts w:cs="Arial"/>
          <w:color w:val="000000"/>
          <w:szCs w:val="20"/>
        </w:rPr>
        <w:t>e odlaganja ostankov komunalnih odpadkov v obdobju</w:t>
      </w:r>
      <w:r w:rsidRPr="00B14598">
        <w:rPr>
          <w:rFonts w:cs="Arial"/>
          <w:color w:val="000000"/>
          <w:szCs w:val="20"/>
        </w:rPr>
        <w:t xml:space="preserve"> 2014–2020</w:t>
      </w:r>
      <w:r>
        <w:rPr>
          <w:rFonts w:cs="Arial"/>
          <w:color w:val="000000"/>
          <w:szCs w:val="20"/>
        </w:rPr>
        <w:t xml:space="preserve"> je bila v Republiki Sloveniji 135,79 eur (cena javne infrastrukture 40,11 eur in cena izvajanja storitve 95,67 eur) (vir: Program ravnanja z odpadki in program preprečevanja odpadkov (2022)).</w:t>
      </w:r>
    </w:p>
    <w:p w14:paraId="5F1F3174" w14:textId="77777777" w:rsidR="00B14598" w:rsidRDefault="00B14598" w:rsidP="00EF735A">
      <w:pPr>
        <w:rPr>
          <w:rFonts w:cs="Arial"/>
          <w:color w:val="000000"/>
          <w:szCs w:val="20"/>
        </w:rPr>
      </w:pPr>
    </w:p>
    <w:p w14:paraId="0BBEE5BA" w14:textId="6FBDCAEF" w:rsidR="005277D2" w:rsidRPr="003A52A5" w:rsidRDefault="005277D2" w:rsidP="00EF735A">
      <w:pPr>
        <w:rPr>
          <w:rFonts w:cs="Arial"/>
          <w:color w:val="000000"/>
          <w:szCs w:val="20"/>
        </w:rPr>
      </w:pPr>
      <w:r w:rsidRPr="003A52A5">
        <w:rPr>
          <w:rFonts w:cs="Arial"/>
          <w:color w:val="000000"/>
          <w:szCs w:val="20"/>
        </w:rPr>
        <w:t xml:space="preserve">Ob </w:t>
      </w:r>
      <w:proofErr w:type="spellStart"/>
      <w:r w:rsidRPr="003A52A5">
        <w:rPr>
          <w:rFonts w:cs="Arial"/>
          <w:color w:val="000000"/>
          <w:szCs w:val="20"/>
        </w:rPr>
        <w:t>novelaciji</w:t>
      </w:r>
      <w:proofErr w:type="spellEnd"/>
      <w:r w:rsidRPr="003A52A5">
        <w:rPr>
          <w:rFonts w:cs="Arial"/>
          <w:color w:val="000000"/>
          <w:szCs w:val="20"/>
        </w:rPr>
        <w:t xml:space="preserve"> programa ravnanja z odpadki (predvideno za 2026) bo ministrstvo ponovno ovrednotilo učinke </w:t>
      </w:r>
      <w:proofErr w:type="spellStart"/>
      <w:r w:rsidRPr="003A52A5">
        <w:rPr>
          <w:rFonts w:cs="Arial"/>
          <w:color w:val="000000"/>
          <w:szCs w:val="20"/>
        </w:rPr>
        <w:t>okoljske</w:t>
      </w:r>
      <w:proofErr w:type="spellEnd"/>
      <w:r w:rsidRPr="003A52A5">
        <w:rPr>
          <w:rFonts w:cs="Arial"/>
          <w:color w:val="000000"/>
          <w:szCs w:val="20"/>
        </w:rPr>
        <w:t xml:space="preserve"> dajatve na količino odloženih odpadkov in po potrebi korigiralo znesek </w:t>
      </w:r>
      <w:proofErr w:type="spellStart"/>
      <w:r w:rsidRPr="003A52A5">
        <w:rPr>
          <w:rFonts w:cs="Arial"/>
          <w:color w:val="000000"/>
          <w:szCs w:val="20"/>
        </w:rPr>
        <w:t>okoljske</w:t>
      </w:r>
      <w:proofErr w:type="spellEnd"/>
      <w:r w:rsidRPr="003A52A5">
        <w:rPr>
          <w:rFonts w:cs="Arial"/>
          <w:color w:val="000000"/>
          <w:szCs w:val="20"/>
        </w:rPr>
        <w:t xml:space="preserve"> dajatve za enoto obremenitve okolja.</w:t>
      </w:r>
    </w:p>
    <w:p w14:paraId="357FC3D2" w14:textId="77777777" w:rsidR="005277D2" w:rsidRPr="003A52A5" w:rsidRDefault="005277D2" w:rsidP="00EF735A">
      <w:pPr>
        <w:rPr>
          <w:rFonts w:cs="Arial"/>
          <w:color w:val="000000"/>
          <w:szCs w:val="20"/>
        </w:rPr>
      </w:pPr>
    </w:p>
    <w:p w14:paraId="0188326C" w14:textId="77777777" w:rsidR="005277D2" w:rsidRPr="003A52A5" w:rsidRDefault="00B3476E" w:rsidP="00EF735A">
      <w:pPr>
        <w:rPr>
          <w:rFonts w:cs="Arial"/>
          <w:color w:val="000000"/>
          <w:szCs w:val="20"/>
        </w:rPr>
      </w:pPr>
      <w:r w:rsidRPr="003A52A5">
        <w:rPr>
          <w:rFonts w:cs="Arial"/>
          <w:color w:val="000000"/>
          <w:szCs w:val="20"/>
        </w:rPr>
        <w:t>V letu 2021 je bilo v Republiki Sloveniji zbranih cca 1,8 mio eurov</w:t>
      </w:r>
      <w:r w:rsidR="00D078D4" w:rsidRPr="003A52A5">
        <w:rPr>
          <w:rFonts w:cs="Arial"/>
          <w:color w:val="000000"/>
          <w:szCs w:val="20"/>
        </w:rPr>
        <w:t xml:space="preserve"> </w:t>
      </w:r>
      <w:proofErr w:type="spellStart"/>
      <w:r w:rsidR="00D078D4" w:rsidRPr="003A52A5">
        <w:rPr>
          <w:rFonts w:cs="Arial"/>
          <w:color w:val="000000"/>
          <w:szCs w:val="20"/>
        </w:rPr>
        <w:t>okoljsk</w:t>
      </w:r>
      <w:r w:rsidRPr="003A52A5">
        <w:rPr>
          <w:rFonts w:cs="Arial"/>
          <w:color w:val="000000"/>
          <w:szCs w:val="20"/>
        </w:rPr>
        <w:t>e</w:t>
      </w:r>
      <w:proofErr w:type="spellEnd"/>
      <w:r w:rsidR="00D078D4" w:rsidRPr="003A52A5">
        <w:rPr>
          <w:rFonts w:cs="Arial"/>
          <w:color w:val="000000"/>
          <w:szCs w:val="20"/>
        </w:rPr>
        <w:t xml:space="preserve"> dajatv</w:t>
      </w:r>
      <w:r w:rsidRPr="003A52A5">
        <w:rPr>
          <w:rFonts w:cs="Arial"/>
          <w:color w:val="000000"/>
          <w:szCs w:val="20"/>
        </w:rPr>
        <w:t>e</w:t>
      </w:r>
      <w:r w:rsidR="00D078D4" w:rsidRPr="003A52A5">
        <w:rPr>
          <w:rFonts w:cs="Arial"/>
          <w:color w:val="000000"/>
          <w:szCs w:val="20"/>
        </w:rPr>
        <w:t xml:space="preserve"> za obremenjevanje okolja zaradi odlaganja odpadkov</w:t>
      </w:r>
      <w:r w:rsidRPr="003A52A5">
        <w:rPr>
          <w:rFonts w:cs="Arial"/>
          <w:color w:val="000000"/>
          <w:szCs w:val="20"/>
        </w:rPr>
        <w:t xml:space="preserve"> (</w:t>
      </w:r>
      <w:r w:rsidR="00D078D4" w:rsidRPr="003A52A5">
        <w:rPr>
          <w:rFonts w:cs="Arial"/>
          <w:color w:val="000000"/>
          <w:szCs w:val="20"/>
        </w:rPr>
        <w:t>komunalna in industrijska odlagališča)</w:t>
      </w:r>
      <w:r w:rsidRPr="003A52A5">
        <w:rPr>
          <w:rFonts w:cs="Arial"/>
          <w:color w:val="000000"/>
          <w:szCs w:val="20"/>
        </w:rPr>
        <w:t xml:space="preserve">. </w:t>
      </w:r>
      <w:r w:rsidR="00D078D4" w:rsidRPr="003A52A5">
        <w:rPr>
          <w:rFonts w:cs="Arial"/>
          <w:color w:val="000000"/>
          <w:szCs w:val="20"/>
        </w:rPr>
        <w:t xml:space="preserve"> </w:t>
      </w:r>
      <w:r w:rsidRPr="003A52A5">
        <w:rPr>
          <w:rFonts w:cs="Arial"/>
          <w:color w:val="000000"/>
          <w:szCs w:val="20"/>
        </w:rPr>
        <w:t xml:space="preserve">Zaradi zvišanja zneska </w:t>
      </w:r>
      <w:proofErr w:type="spellStart"/>
      <w:r w:rsidRPr="003A52A5">
        <w:rPr>
          <w:rFonts w:cs="Arial"/>
          <w:color w:val="000000"/>
          <w:szCs w:val="20"/>
        </w:rPr>
        <w:t>okoljske</w:t>
      </w:r>
      <w:proofErr w:type="spellEnd"/>
      <w:r w:rsidRPr="003A52A5">
        <w:rPr>
          <w:rFonts w:cs="Arial"/>
          <w:color w:val="000000"/>
          <w:szCs w:val="20"/>
        </w:rPr>
        <w:t xml:space="preserve"> dajatve za enoto obremenitve okolja </w:t>
      </w:r>
      <w:r w:rsidR="00D078D4" w:rsidRPr="003A52A5">
        <w:rPr>
          <w:rFonts w:cs="Arial"/>
          <w:color w:val="000000"/>
          <w:szCs w:val="20"/>
        </w:rPr>
        <w:t xml:space="preserve">v letu 2023 </w:t>
      </w:r>
      <w:r w:rsidRPr="003A52A5">
        <w:rPr>
          <w:rFonts w:cs="Arial"/>
          <w:color w:val="000000"/>
          <w:szCs w:val="20"/>
        </w:rPr>
        <w:t>se bodo zbrana sredstva</w:t>
      </w:r>
      <w:r w:rsidR="00D078D4" w:rsidRPr="003A52A5">
        <w:rPr>
          <w:rFonts w:cs="Arial"/>
          <w:color w:val="000000"/>
          <w:szCs w:val="20"/>
        </w:rPr>
        <w:t xml:space="preserve"> predvidoma povečala (v primeru enake količine odloženih posameznih vrst odpadkov) na </w:t>
      </w:r>
      <w:r w:rsidR="00427F6E" w:rsidRPr="003A52A5">
        <w:rPr>
          <w:rFonts w:cs="Arial"/>
          <w:color w:val="000000"/>
          <w:szCs w:val="20"/>
        </w:rPr>
        <w:t>cca 4,1 mio €, v letu 2028 pa na 6,6 mio €</w:t>
      </w:r>
      <w:r w:rsidRPr="003A52A5">
        <w:rPr>
          <w:rFonts w:cs="Arial"/>
          <w:color w:val="000000"/>
          <w:szCs w:val="20"/>
        </w:rPr>
        <w:t>. S</w:t>
      </w:r>
      <w:r w:rsidR="00427F6E" w:rsidRPr="003A52A5">
        <w:rPr>
          <w:rFonts w:cs="Arial"/>
          <w:color w:val="000000"/>
          <w:szCs w:val="20"/>
        </w:rPr>
        <w:t xml:space="preserve">eveda pa tako zaradi striktnega upoštevanja hierarhije ravnanja z odpadki kakor tudi zaradi vpliva zvišanja </w:t>
      </w:r>
      <w:proofErr w:type="spellStart"/>
      <w:r w:rsidR="00427F6E" w:rsidRPr="003A52A5">
        <w:rPr>
          <w:rFonts w:cs="Arial"/>
          <w:color w:val="000000"/>
          <w:szCs w:val="20"/>
        </w:rPr>
        <w:t>okoljske</w:t>
      </w:r>
      <w:proofErr w:type="spellEnd"/>
      <w:r w:rsidR="00427F6E" w:rsidRPr="003A52A5">
        <w:rPr>
          <w:rFonts w:cs="Arial"/>
          <w:color w:val="000000"/>
          <w:szCs w:val="20"/>
        </w:rPr>
        <w:t xml:space="preserve"> dajatve </w:t>
      </w:r>
      <w:r w:rsidRPr="003A52A5">
        <w:rPr>
          <w:rFonts w:cs="Arial"/>
          <w:color w:val="000000"/>
          <w:szCs w:val="20"/>
        </w:rPr>
        <w:t>pričakujemo</w:t>
      </w:r>
      <w:r w:rsidR="00427F6E" w:rsidRPr="003A52A5">
        <w:rPr>
          <w:rFonts w:cs="Arial"/>
          <w:color w:val="000000"/>
          <w:szCs w:val="20"/>
        </w:rPr>
        <w:t xml:space="preserve"> zmanjšanje količine odloženih odpadkov</w:t>
      </w:r>
      <w:r w:rsidRPr="003A52A5">
        <w:rPr>
          <w:rFonts w:cs="Arial"/>
          <w:color w:val="000000"/>
          <w:szCs w:val="20"/>
        </w:rPr>
        <w:t xml:space="preserve"> in s tem tudi nižje vrednosti zbranih sredstev s tega naslova</w:t>
      </w:r>
      <w:r w:rsidR="00427F6E" w:rsidRPr="003A52A5">
        <w:rPr>
          <w:rFonts w:cs="Arial"/>
          <w:color w:val="000000"/>
          <w:szCs w:val="20"/>
        </w:rPr>
        <w:t>.</w:t>
      </w:r>
    </w:p>
    <w:p w14:paraId="6103189F" w14:textId="77777777" w:rsidR="00B3476E" w:rsidRPr="003A52A5" w:rsidRDefault="00B3476E" w:rsidP="00EF735A">
      <w:pPr>
        <w:rPr>
          <w:rFonts w:cs="Arial"/>
          <w:color w:val="000000"/>
          <w:szCs w:val="20"/>
        </w:rPr>
      </w:pPr>
    </w:p>
    <w:tbl>
      <w:tblPr>
        <w:tblW w:w="8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7"/>
        <w:gridCol w:w="1525"/>
        <w:gridCol w:w="1525"/>
        <w:gridCol w:w="1467"/>
      </w:tblGrid>
      <w:tr w:rsidR="00B3476E" w:rsidRPr="00DD0D38" w14:paraId="2A053609" w14:textId="77777777" w:rsidTr="00E248D1">
        <w:tc>
          <w:tcPr>
            <w:tcW w:w="2235" w:type="dxa"/>
            <w:shd w:val="clear" w:color="auto" w:fill="auto"/>
          </w:tcPr>
          <w:p w14:paraId="4ED47F3A" w14:textId="77777777" w:rsidR="00B3476E" w:rsidRPr="00DD0D38" w:rsidRDefault="00B3476E" w:rsidP="00EF735A">
            <w:pPr>
              <w:rPr>
                <w:rFonts w:cs="Arial"/>
                <w:b/>
                <w:bCs/>
                <w:szCs w:val="20"/>
              </w:rPr>
            </w:pPr>
            <w:r w:rsidRPr="00DD0D38">
              <w:rPr>
                <w:rFonts w:cs="Arial"/>
                <w:b/>
                <w:bCs/>
                <w:szCs w:val="20"/>
              </w:rPr>
              <w:t>Odloženi odpadek</w:t>
            </w:r>
          </w:p>
        </w:tc>
        <w:tc>
          <w:tcPr>
            <w:tcW w:w="1727" w:type="dxa"/>
            <w:shd w:val="clear" w:color="auto" w:fill="auto"/>
          </w:tcPr>
          <w:p w14:paraId="4921B5DA" w14:textId="77777777" w:rsidR="00B3476E" w:rsidRPr="00DD0D38" w:rsidRDefault="00B3476E" w:rsidP="00EF735A">
            <w:pPr>
              <w:rPr>
                <w:rFonts w:cs="Arial"/>
                <w:b/>
                <w:bCs/>
                <w:szCs w:val="20"/>
              </w:rPr>
            </w:pPr>
            <w:r w:rsidRPr="00DD0D38">
              <w:rPr>
                <w:rFonts w:cs="Arial"/>
                <w:b/>
                <w:bCs/>
                <w:szCs w:val="20"/>
              </w:rPr>
              <w:t>2021 (kg)</w:t>
            </w:r>
          </w:p>
        </w:tc>
        <w:tc>
          <w:tcPr>
            <w:tcW w:w="1525" w:type="dxa"/>
            <w:shd w:val="clear" w:color="auto" w:fill="auto"/>
          </w:tcPr>
          <w:p w14:paraId="2D4A479C" w14:textId="77777777" w:rsidR="00B3476E" w:rsidRPr="00DD0D38" w:rsidRDefault="00B3476E" w:rsidP="00EF735A">
            <w:pPr>
              <w:rPr>
                <w:rFonts w:cs="Arial"/>
                <w:b/>
                <w:bCs/>
                <w:szCs w:val="20"/>
              </w:rPr>
            </w:pPr>
            <w:r w:rsidRPr="00DD0D38">
              <w:rPr>
                <w:rFonts w:cs="Arial"/>
                <w:b/>
                <w:bCs/>
                <w:szCs w:val="20"/>
              </w:rPr>
              <w:t>2021 (€)</w:t>
            </w:r>
          </w:p>
        </w:tc>
        <w:tc>
          <w:tcPr>
            <w:tcW w:w="1525" w:type="dxa"/>
            <w:shd w:val="clear" w:color="auto" w:fill="auto"/>
          </w:tcPr>
          <w:p w14:paraId="15A9F63A" w14:textId="77777777" w:rsidR="00B3476E" w:rsidRPr="00DD0D38" w:rsidRDefault="00B3476E" w:rsidP="00EF735A">
            <w:pPr>
              <w:rPr>
                <w:rFonts w:cs="Arial"/>
                <w:b/>
                <w:bCs/>
                <w:szCs w:val="20"/>
              </w:rPr>
            </w:pPr>
            <w:r w:rsidRPr="00DD0D38">
              <w:rPr>
                <w:rFonts w:cs="Arial"/>
                <w:b/>
                <w:bCs/>
                <w:szCs w:val="20"/>
              </w:rPr>
              <w:t>2023 (€)</w:t>
            </w:r>
          </w:p>
        </w:tc>
        <w:tc>
          <w:tcPr>
            <w:tcW w:w="1467" w:type="dxa"/>
            <w:shd w:val="clear" w:color="auto" w:fill="auto"/>
          </w:tcPr>
          <w:p w14:paraId="3457DEA5" w14:textId="77777777" w:rsidR="00B3476E" w:rsidRPr="00B14598" w:rsidRDefault="00B3476E" w:rsidP="00EF735A">
            <w:pPr>
              <w:rPr>
                <w:rFonts w:cs="Arial"/>
                <w:b/>
                <w:bCs/>
                <w:szCs w:val="20"/>
              </w:rPr>
            </w:pPr>
            <w:r w:rsidRPr="00B14598">
              <w:rPr>
                <w:rFonts w:cs="Arial"/>
                <w:b/>
                <w:bCs/>
                <w:szCs w:val="20"/>
              </w:rPr>
              <w:t>2028 (€)</w:t>
            </w:r>
          </w:p>
        </w:tc>
      </w:tr>
      <w:tr w:rsidR="00B3476E" w:rsidRPr="003A52A5" w14:paraId="6022A50D" w14:textId="77777777" w:rsidTr="00E248D1">
        <w:tc>
          <w:tcPr>
            <w:tcW w:w="2235" w:type="dxa"/>
            <w:shd w:val="clear" w:color="auto" w:fill="auto"/>
          </w:tcPr>
          <w:p w14:paraId="24F6C5CC" w14:textId="77777777" w:rsidR="00B3476E" w:rsidRPr="003A52A5" w:rsidRDefault="00B3476E" w:rsidP="00EF735A">
            <w:pPr>
              <w:rPr>
                <w:rFonts w:cs="Arial"/>
                <w:szCs w:val="20"/>
              </w:rPr>
            </w:pPr>
            <w:r w:rsidRPr="003A52A5">
              <w:rPr>
                <w:rFonts w:cs="Arial"/>
                <w:szCs w:val="20"/>
              </w:rPr>
              <w:t>Inertni</w:t>
            </w:r>
          </w:p>
        </w:tc>
        <w:tc>
          <w:tcPr>
            <w:tcW w:w="1727" w:type="dxa"/>
            <w:shd w:val="clear" w:color="auto" w:fill="auto"/>
          </w:tcPr>
          <w:p w14:paraId="2A0EE460" w14:textId="77777777" w:rsidR="00B3476E" w:rsidRPr="003A52A5" w:rsidRDefault="00B3476E" w:rsidP="00EF735A">
            <w:pPr>
              <w:rPr>
                <w:rFonts w:cs="Arial"/>
                <w:szCs w:val="20"/>
              </w:rPr>
            </w:pPr>
            <w:r w:rsidRPr="003A52A5">
              <w:rPr>
                <w:rFonts w:cs="Arial"/>
                <w:szCs w:val="20"/>
              </w:rPr>
              <w:t>25.883.410</w:t>
            </w:r>
          </w:p>
        </w:tc>
        <w:tc>
          <w:tcPr>
            <w:tcW w:w="1525" w:type="dxa"/>
            <w:shd w:val="clear" w:color="auto" w:fill="auto"/>
          </w:tcPr>
          <w:p w14:paraId="185BF25F" w14:textId="77777777" w:rsidR="00B3476E" w:rsidRPr="003A52A5" w:rsidRDefault="00B3476E" w:rsidP="00EF735A">
            <w:pPr>
              <w:rPr>
                <w:rFonts w:cs="Arial"/>
                <w:szCs w:val="20"/>
              </w:rPr>
            </w:pPr>
            <w:r w:rsidRPr="003A52A5">
              <w:rPr>
                <w:rFonts w:cs="Arial"/>
                <w:szCs w:val="20"/>
              </w:rPr>
              <w:t>56.943</w:t>
            </w:r>
          </w:p>
        </w:tc>
        <w:tc>
          <w:tcPr>
            <w:tcW w:w="1525" w:type="dxa"/>
            <w:shd w:val="clear" w:color="auto" w:fill="auto"/>
          </w:tcPr>
          <w:p w14:paraId="1A6DE288" w14:textId="77777777" w:rsidR="00B3476E" w:rsidRPr="003A52A5" w:rsidRDefault="00B3476E" w:rsidP="00EF735A">
            <w:pPr>
              <w:rPr>
                <w:rFonts w:cs="Arial"/>
                <w:szCs w:val="20"/>
              </w:rPr>
            </w:pPr>
            <w:r w:rsidRPr="003A52A5">
              <w:rPr>
                <w:rFonts w:cs="Arial"/>
                <w:szCs w:val="20"/>
              </w:rPr>
              <w:t>129.417</w:t>
            </w:r>
          </w:p>
        </w:tc>
        <w:tc>
          <w:tcPr>
            <w:tcW w:w="1467" w:type="dxa"/>
            <w:shd w:val="clear" w:color="auto" w:fill="auto"/>
          </w:tcPr>
          <w:p w14:paraId="049841D8" w14:textId="77777777" w:rsidR="00B3476E" w:rsidRPr="00B14598" w:rsidRDefault="00B3476E" w:rsidP="00EF735A">
            <w:pPr>
              <w:rPr>
                <w:rFonts w:cs="Arial"/>
                <w:szCs w:val="20"/>
              </w:rPr>
            </w:pPr>
            <w:r w:rsidRPr="00B14598">
              <w:rPr>
                <w:rFonts w:cs="Arial"/>
                <w:szCs w:val="20"/>
              </w:rPr>
              <w:t>207.067</w:t>
            </w:r>
          </w:p>
        </w:tc>
      </w:tr>
      <w:tr w:rsidR="00B3476E" w:rsidRPr="003A52A5" w14:paraId="0261A97E" w14:textId="77777777" w:rsidTr="00E248D1">
        <w:tc>
          <w:tcPr>
            <w:tcW w:w="2235" w:type="dxa"/>
            <w:shd w:val="clear" w:color="auto" w:fill="auto"/>
          </w:tcPr>
          <w:p w14:paraId="2C22DCA9" w14:textId="77777777" w:rsidR="00B3476E" w:rsidRPr="003A52A5" w:rsidRDefault="00B3476E" w:rsidP="00EF735A">
            <w:pPr>
              <w:rPr>
                <w:rFonts w:cs="Arial"/>
                <w:szCs w:val="20"/>
              </w:rPr>
            </w:pPr>
            <w:r w:rsidRPr="003A52A5">
              <w:rPr>
                <w:rFonts w:cs="Arial"/>
                <w:szCs w:val="20"/>
              </w:rPr>
              <w:t>Nenevarni</w:t>
            </w:r>
          </w:p>
        </w:tc>
        <w:tc>
          <w:tcPr>
            <w:tcW w:w="1727" w:type="dxa"/>
            <w:shd w:val="clear" w:color="auto" w:fill="auto"/>
          </w:tcPr>
          <w:p w14:paraId="5077F950" w14:textId="77777777" w:rsidR="00B3476E" w:rsidRPr="003A52A5" w:rsidRDefault="00B3476E" w:rsidP="00EF735A">
            <w:pPr>
              <w:rPr>
                <w:rFonts w:cs="Arial"/>
                <w:szCs w:val="20"/>
              </w:rPr>
            </w:pPr>
            <w:r w:rsidRPr="003A52A5">
              <w:rPr>
                <w:rFonts w:cs="Arial"/>
                <w:szCs w:val="20"/>
              </w:rPr>
              <w:t>136.625.073</w:t>
            </w:r>
          </w:p>
        </w:tc>
        <w:tc>
          <w:tcPr>
            <w:tcW w:w="1525" w:type="dxa"/>
            <w:shd w:val="clear" w:color="auto" w:fill="auto"/>
          </w:tcPr>
          <w:p w14:paraId="25A45B90" w14:textId="77777777" w:rsidR="00B3476E" w:rsidRPr="003A52A5" w:rsidRDefault="00B3476E" w:rsidP="00EF735A">
            <w:pPr>
              <w:rPr>
                <w:rFonts w:cs="Arial"/>
                <w:szCs w:val="20"/>
              </w:rPr>
            </w:pPr>
            <w:r w:rsidRPr="003A52A5">
              <w:rPr>
                <w:rFonts w:cs="Arial"/>
                <w:szCs w:val="20"/>
              </w:rPr>
              <w:t>1.502.876</w:t>
            </w:r>
          </w:p>
        </w:tc>
        <w:tc>
          <w:tcPr>
            <w:tcW w:w="1525" w:type="dxa"/>
            <w:shd w:val="clear" w:color="auto" w:fill="auto"/>
          </w:tcPr>
          <w:p w14:paraId="2D597390" w14:textId="77777777" w:rsidR="00B3476E" w:rsidRPr="003A52A5" w:rsidRDefault="00B3476E" w:rsidP="00EF735A">
            <w:pPr>
              <w:rPr>
                <w:rFonts w:cs="Arial"/>
                <w:szCs w:val="20"/>
              </w:rPr>
            </w:pPr>
            <w:r w:rsidRPr="003A52A5">
              <w:rPr>
                <w:rFonts w:cs="Arial"/>
                <w:szCs w:val="20"/>
              </w:rPr>
              <w:t>3.415.627</w:t>
            </w:r>
          </w:p>
        </w:tc>
        <w:tc>
          <w:tcPr>
            <w:tcW w:w="1467" w:type="dxa"/>
            <w:shd w:val="clear" w:color="auto" w:fill="auto"/>
          </w:tcPr>
          <w:p w14:paraId="5BB32364" w14:textId="77777777" w:rsidR="00B3476E" w:rsidRPr="00B14598" w:rsidRDefault="00B3476E" w:rsidP="00EF735A">
            <w:pPr>
              <w:rPr>
                <w:rFonts w:cs="Arial"/>
                <w:szCs w:val="20"/>
              </w:rPr>
            </w:pPr>
            <w:r w:rsidRPr="00B14598">
              <w:rPr>
                <w:rFonts w:cs="Arial"/>
                <w:szCs w:val="20"/>
              </w:rPr>
              <w:t>5.465.000</w:t>
            </w:r>
          </w:p>
        </w:tc>
      </w:tr>
      <w:tr w:rsidR="00B3476E" w:rsidRPr="003A52A5" w14:paraId="768BAA13" w14:textId="77777777" w:rsidTr="00E248D1">
        <w:tc>
          <w:tcPr>
            <w:tcW w:w="2235" w:type="dxa"/>
            <w:shd w:val="clear" w:color="auto" w:fill="auto"/>
          </w:tcPr>
          <w:p w14:paraId="77B00B68" w14:textId="77777777" w:rsidR="00B3476E" w:rsidRPr="003A52A5" w:rsidRDefault="00B3476E" w:rsidP="00EF735A">
            <w:pPr>
              <w:rPr>
                <w:rFonts w:cs="Arial"/>
                <w:szCs w:val="20"/>
              </w:rPr>
            </w:pPr>
            <w:r w:rsidRPr="003A52A5">
              <w:rPr>
                <w:rFonts w:cs="Arial"/>
                <w:szCs w:val="20"/>
              </w:rPr>
              <w:t>Nevarni</w:t>
            </w:r>
          </w:p>
        </w:tc>
        <w:tc>
          <w:tcPr>
            <w:tcW w:w="1727" w:type="dxa"/>
            <w:shd w:val="clear" w:color="auto" w:fill="auto"/>
          </w:tcPr>
          <w:p w14:paraId="37B27D4F" w14:textId="77777777" w:rsidR="00B3476E" w:rsidRPr="003A52A5" w:rsidRDefault="00B3476E" w:rsidP="00EF735A">
            <w:pPr>
              <w:rPr>
                <w:rFonts w:cs="Arial"/>
                <w:szCs w:val="20"/>
              </w:rPr>
            </w:pPr>
            <w:r w:rsidRPr="003A52A5">
              <w:rPr>
                <w:rFonts w:cs="Arial"/>
                <w:szCs w:val="20"/>
              </w:rPr>
              <w:t>11.204.663</w:t>
            </w:r>
          </w:p>
        </w:tc>
        <w:tc>
          <w:tcPr>
            <w:tcW w:w="1525" w:type="dxa"/>
            <w:shd w:val="clear" w:color="auto" w:fill="auto"/>
          </w:tcPr>
          <w:p w14:paraId="557E1916" w14:textId="77777777" w:rsidR="00B3476E" w:rsidRPr="003A52A5" w:rsidRDefault="00B3476E" w:rsidP="00EF735A">
            <w:pPr>
              <w:rPr>
                <w:rFonts w:cs="Arial"/>
                <w:szCs w:val="20"/>
              </w:rPr>
            </w:pPr>
            <w:r w:rsidRPr="003A52A5">
              <w:rPr>
                <w:rFonts w:cs="Arial"/>
                <w:szCs w:val="20"/>
              </w:rPr>
              <w:t>246.503</w:t>
            </w:r>
          </w:p>
        </w:tc>
        <w:tc>
          <w:tcPr>
            <w:tcW w:w="1525" w:type="dxa"/>
            <w:shd w:val="clear" w:color="auto" w:fill="auto"/>
          </w:tcPr>
          <w:p w14:paraId="61955594" w14:textId="77777777" w:rsidR="00B3476E" w:rsidRPr="003A52A5" w:rsidRDefault="00B3476E" w:rsidP="00EF735A">
            <w:pPr>
              <w:rPr>
                <w:rFonts w:cs="Arial"/>
                <w:szCs w:val="20"/>
              </w:rPr>
            </w:pPr>
            <w:r w:rsidRPr="003A52A5">
              <w:rPr>
                <w:rFonts w:cs="Arial"/>
                <w:szCs w:val="20"/>
              </w:rPr>
              <w:t>560.233</w:t>
            </w:r>
          </w:p>
        </w:tc>
        <w:tc>
          <w:tcPr>
            <w:tcW w:w="1467" w:type="dxa"/>
            <w:shd w:val="clear" w:color="auto" w:fill="auto"/>
          </w:tcPr>
          <w:p w14:paraId="390100E2" w14:textId="77777777" w:rsidR="00B3476E" w:rsidRPr="00B14598" w:rsidRDefault="00B3476E" w:rsidP="00EF735A">
            <w:pPr>
              <w:rPr>
                <w:rFonts w:cs="Arial"/>
                <w:szCs w:val="20"/>
              </w:rPr>
            </w:pPr>
            <w:r w:rsidRPr="00B14598">
              <w:rPr>
                <w:rFonts w:cs="Arial"/>
                <w:szCs w:val="20"/>
              </w:rPr>
              <w:t>896.373</w:t>
            </w:r>
          </w:p>
        </w:tc>
      </w:tr>
      <w:tr w:rsidR="00B3476E" w:rsidRPr="003A52A5" w14:paraId="75C2C992" w14:textId="77777777" w:rsidTr="00E248D1">
        <w:tc>
          <w:tcPr>
            <w:tcW w:w="2235" w:type="dxa"/>
            <w:shd w:val="clear" w:color="auto" w:fill="auto"/>
          </w:tcPr>
          <w:p w14:paraId="6708A225" w14:textId="77777777" w:rsidR="00B3476E" w:rsidRPr="003A52A5" w:rsidRDefault="00B3476E" w:rsidP="00EF735A">
            <w:pPr>
              <w:rPr>
                <w:rFonts w:cs="Arial"/>
                <w:szCs w:val="20"/>
              </w:rPr>
            </w:pPr>
          </w:p>
        </w:tc>
        <w:tc>
          <w:tcPr>
            <w:tcW w:w="1727" w:type="dxa"/>
            <w:shd w:val="clear" w:color="auto" w:fill="auto"/>
          </w:tcPr>
          <w:p w14:paraId="51416066" w14:textId="77777777" w:rsidR="00B3476E" w:rsidRPr="003A52A5" w:rsidRDefault="00B3476E" w:rsidP="00EF735A">
            <w:pPr>
              <w:rPr>
                <w:rFonts w:cs="Arial"/>
                <w:szCs w:val="20"/>
              </w:rPr>
            </w:pPr>
          </w:p>
        </w:tc>
        <w:tc>
          <w:tcPr>
            <w:tcW w:w="1525" w:type="dxa"/>
            <w:shd w:val="clear" w:color="auto" w:fill="auto"/>
          </w:tcPr>
          <w:p w14:paraId="541C05AA" w14:textId="77777777" w:rsidR="00B3476E" w:rsidRPr="00E248D1" w:rsidRDefault="00B3476E" w:rsidP="00EF735A">
            <w:pPr>
              <w:rPr>
                <w:rFonts w:cs="Arial"/>
                <w:b/>
                <w:bCs/>
                <w:szCs w:val="20"/>
              </w:rPr>
            </w:pPr>
            <w:r w:rsidRPr="00E248D1">
              <w:rPr>
                <w:rFonts w:cs="Arial"/>
                <w:b/>
                <w:bCs/>
                <w:szCs w:val="20"/>
              </w:rPr>
              <w:t>cca 1,8 mio</w:t>
            </w:r>
          </w:p>
        </w:tc>
        <w:tc>
          <w:tcPr>
            <w:tcW w:w="1525" w:type="dxa"/>
            <w:shd w:val="clear" w:color="auto" w:fill="auto"/>
          </w:tcPr>
          <w:p w14:paraId="52123814" w14:textId="77777777" w:rsidR="00B3476E" w:rsidRPr="00E248D1" w:rsidRDefault="00B3476E" w:rsidP="00EF735A">
            <w:pPr>
              <w:rPr>
                <w:rFonts w:cs="Arial"/>
                <w:b/>
                <w:bCs/>
                <w:szCs w:val="20"/>
              </w:rPr>
            </w:pPr>
            <w:r w:rsidRPr="00E248D1">
              <w:rPr>
                <w:rFonts w:cs="Arial"/>
                <w:b/>
                <w:bCs/>
                <w:szCs w:val="20"/>
              </w:rPr>
              <w:t>cca 4,1 mio</w:t>
            </w:r>
          </w:p>
        </w:tc>
        <w:tc>
          <w:tcPr>
            <w:tcW w:w="1467" w:type="dxa"/>
            <w:shd w:val="clear" w:color="auto" w:fill="auto"/>
          </w:tcPr>
          <w:p w14:paraId="1FFE31A2" w14:textId="77777777" w:rsidR="00B3476E" w:rsidRPr="00B14598" w:rsidRDefault="00B3476E" w:rsidP="00EF735A">
            <w:pPr>
              <w:rPr>
                <w:rFonts w:cs="Arial"/>
                <w:b/>
                <w:bCs/>
                <w:szCs w:val="20"/>
              </w:rPr>
            </w:pPr>
            <w:r w:rsidRPr="00B14598">
              <w:rPr>
                <w:rFonts w:cs="Arial"/>
                <w:b/>
                <w:bCs/>
                <w:szCs w:val="20"/>
              </w:rPr>
              <w:t>cca 6,6 mio</w:t>
            </w:r>
          </w:p>
        </w:tc>
      </w:tr>
    </w:tbl>
    <w:p w14:paraId="4CBBEF4F" w14:textId="77777777" w:rsidR="00B3476E" w:rsidRPr="003A52A5" w:rsidRDefault="00B3476E" w:rsidP="00EF735A">
      <w:pPr>
        <w:rPr>
          <w:rFonts w:cs="Arial"/>
          <w:szCs w:val="20"/>
        </w:rPr>
      </w:pPr>
    </w:p>
    <w:p w14:paraId="5DE51358" w14:textId="4A1CCF98" w:rsidR="00EE3744" w:rsidRPr="003A52A5" w:rsidRDefault="00E8169A" w:rsidP="00EF735A">
      <w:pPr>
        <w:pStyle w:val="rta"/>
        <w:spacing w:before="0"/>
        <w:jc w:val="both"/>
        <w:rPr>
          <w:rFonts w:cs="Arial"/>
          <w:lang w:val="sl-SI"/>
        </w:rPr>
      </w:pPr>
      <w:r>
        <w:rPr>
          <w:rFonts w:cs="Arial"/>
          <w:szCs w:val="16"/>
          <w:lang w:val="sl-SI" w:eastAsia="sl-SI"/>
        </w:rPr>
        <w:t>N</w:t>
      </w:r>
      <w:r w:rsidRPr="00E8169A">
        <w:rPr>
          <w:rFonts w:cs="Arial"/>
          <w:szCs w:val="16"/>
          <w:lang w:val="sl-SI" w:eastAsia="sl-SI"/>
        </w:rPr>
        <w:t xml:space="preserve">a podlagi </w:t>
      </w:r>
      <w:r>
        <w:rPr>
          <w:rFonts w:cs="Arial"/>
          <w:szCs w:val="16"/>
          <w:lang w:val="sl-SI" w:eastAsia="sl-SI"/>
        </w:rPr>
        <w:t>sedmega odstavka</w:t>
      </w:r>
      <w:r w:rsidRPr="00E8169A">
        <w:rPr>
          <w:rFonts w:cs="Arial"/>
          <w:szCs w:val="16"/>
          <w:lang w:val="sl-SI" w:eastAsia="sl-SI"/>
        </w:rPr>
        <w:t xml:space="preserve"> 3.</w:t>
      </w:r>
      <w:r>
        <w:rPr>
          <w:rFonts w:cs="Arial"/>
          <w:szCs w:val="16"/>
          <w:lang w:val="sl-SI" w:eastAsia="sl-SI"/>
        </w:rPr>
        <w:t xml:space="preserve"> </w:t>
      </w:r>
      <w:r w:rsidRPr="00E8169A">
        <w:rPr>
          <w:rFonts w:cs="Arial"/>
          <w:szCs w:val="16"/>
          <w:lang w:val="sl-SI" w:eastAsia="sl-SI"/>
        </w:rPr>
        <w:t xml:space="preserve">člena te uredbe je </w:t>
      </w:r>
      <w:proofErr w:type="spellStart"/>
      <w:r w:rsidRPr="00E8169A">
        <w:rPr>
          <w:rFonts w:cs="Arial"/>
          <w:szCs w:val="16"/>
          <w:lang w:val="sl-SI" w:eastAsia="sl-SI"/>
        </w:rPr>
        <w:t>okoljska</w:t>
      </w:r>
      <w:proofErr w:type="spellEnd"/>
      <w:r w:rsidRPr="00E8169A">
        <w:rPr>
          <w:rFonts w:cs="Arial"/>
          <w:szCs w:val="16"/>
          <w:lang w:val="sl-SI" w:eastAsia="sl-SI"/>
        </w:rPr>
        <w:t xml:space="preserve"> dajat</w:t>
      </w:r>
      <w:r>
        <w:rPr>
          <w:rFonts w:cs="Arial"/>
          <w:szCs w:val="16"/>
          <w:lang w:val="sl-SI" w:eastAsia="sl-SI"/>
        </w:rPr>
        <w:t>e</w:t>
      </w:r>
      <w:r w:rsidRPr="00E8169A">
        <w:rPr>
          <w:rFonts w:cs="Arial"/>
          <w:szCs w:val="16"/>
          <w:lang w:val="sl-SI" w:eastAsia="sl-SI"/>
        </w:rPr>
        <w:t>v</w:t>
      </w:r>
      <w:r>
        <w:rPr>
          <w:rFonts w:cs="Arial"/>
          <w:szCs w:val="16"/>
          <w:lang w:val="sl-SI" w:eastAsia="sl-SI"/>
        </w:rPr>
        <w:t xml:space="preserve"> za obremenjevanje okolja zaradi odlaganja odpadkov</w:t>
      </w:r>
      <w:r w:rsidRPr="00E8169A">
        <w:rPr>
          <w:rFonts w:cs="Arial"/>
          <w:szCs w:val="16"/>
          <w:lang w:val="sl-SI" w:eastAsia="sl-SI"/>
        </w:rPr>
        <w:t xml:space="preserve"> prihodek državnega proračuna.</w:t>
      </w:r>
      <w:r>
        <w:rPr>
          <w:rFonts w:cs="Arial"/>
          <w:szCs w:val="16"/>
          <w:lang w:val="sl-SI" w:eastAsia="sl-SI"/>
        </w:rPr>
        <w:t xml:space="preserve"> </w:t>
      </w:r>
      <w:r w:rsidRPr="00E8169A">
        <w:rPr>
          <w:rFonts w:cs="Arial"/>
          <w:szCs w:val="16"/>
          <w:lang w:val="sl-SI" w:eastAsia="sl-SI"/>
        </w:rPr>
        <w:t>MOP želi zbrana sredstva nameniti za izvedbo projektov in ukrepov iz PP 153246 Saniranje neurejenih odlagališč.</w:t>
      </w:r>
      <w:r>
        <w:rPr>
          <w:rFonts w:cs="Arial"/>
          <w:szCs w:val="16"/>
          <w:lang w:val="sl-SI" w:eastAsia="sl-SI"/>
        </w:rPr>
        <w:t xml:space="preserve"> </w:t>
      </w:r>
      <w:r w:rsidRPr="00E8169A">
        <w:rPr>
          <w:rFonts w:cs="Arial"/>
          <w:szCs w:val="16"/>
          <w:lang w:val="sl-SI" w:eastAsia="sl-SI"/>
        </w:rPr>
        <w:t>V ta namen bo v Načrtih razvojnih programov za posamezno proračunsko obdobje pripravil</w:t>
      </w:r>
      <w:r>
        <w:rPr>
          <w:rFonts w:cs="Arial"/>
          <w:szCs w:val="16"/>
          <w:lang w:val="sl-SI" w:eastAsia="sl-SI"/>
        </w:rPr>
        <w:t>o</w:t>
      </w:r>
      <w:r w:rsidRPr="00E8169A">
        <w:rPr>
          <w:rFonts w:cs="Arial"/>
          <w:szCs w:val="16"/>
          <w:lang w:val="sl-SI" w:eastAsia="sl-SI"/>
        </w:rPr>
        <w:t xml:space="preserve"> nabor projektov in ukrepov za saniranje onesnaženega okolja zaradi odlaganja odpadkov.</w:t>
      </w:r>
    </w:p>
    <w:sectPr w:rsidR="00EE3744" w:rsidRPr="003A52A5" w:rsidSect="0018295B">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D1EB" w14:textId="77777777" w:rsidR="00E42499" w:rsidRDefault="00E42499" w:rsidP="00443548">
      <w:r>
        <w:separator/>
      </w:r>
    </w:p>
  </w:endnote>
  <w:endnote w:type="continuationSeparator" w:id="0">
    <w:p w14:paraId="45C46A6E" w14:textId="77777777" w:rsidR="00E42499" w:rsidRDefault="00E42499" w:rsidP="0044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532E7" w14:textId="77777777" w:rsidR="00E42499" w:rsidRDefault="00E42499" w:rsidP="00443548">
      <w:r>
        <w:separator/>
      </w:r>
    </w:p>
  </w:footnote>
  <w:footnote w:type="continuationSeparator" w:id="0">
    <w:p w14:paraId="6B00F87B" w14:textId="77777777" w:rsidR="00E42499" w:rsidRDefault="00E42499" w:rsidP="00443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C642" w14:textId="77777777" w:rsidR="0018295B" w:rsidRPr="00110CBD" w:rsidRDefault="0018295B" w:rsidP="0018295B">
    <w:pPr>
      <w:pStyle w:val="Glava"/>
      <w:spacing w:line="240" w:lineRule="exact"/>
      <w:rPr>
        <w:rFonts w:ascii="Republika" w:hAnsi="Republik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8295B" w:rsidRPr="008F3500" w14:paraId="3F7FB1DC" w14:textId="77777777">
      <w:trPr>
        <w:cantSplit/>
        <w:trHeight w:hRule="exact" w:val="847"/>
      </w:trPr>
      <w:tc>
        <w:tcPr>
          <w:tcW w:w="567" w:type="dxa"/>
        </w:tcPr>
        <w:p w14:paraId="3F872ABF" w14:textId="77777777" w:rsidR="0018295B" w:rsidRPr="006D42D9" w:rsidRDefault="0018295B" w:rsidP="0018295B">
          <w:pPr>
            <w:rPr>
              <w:rFonts w:ascii="Republika" w:hAnsi="Republika"/>
              <w:sz w:val="60"/>
              <w:szCs w:val="60"/>
            </w:rPr>
          </w:pPr>
        </w:p>
      </w:tc>
    </w:tr>
  </w:tbl>
  <w:p w14:paraId="20D721E9" w14:textId="77777777" w:rsidR="0018295B" w:rsidRPr="008F3500" w:rsidRDefault="0018295B" w:rsidP="0018295B">
    <w:pPr>
      <w:pStyle w:val="Glava"/>
      <w:tabs>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6A27"/>
    <w:multiLevelType w:val="hybridMultilevel"/>
    <w:tmpl w:val="45205682"/>
    <w:lvl w:ilvl="0" w:tplc="1DAE018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2"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123E6A"/>
    <w:multiLevelType w:val="hybridMultilevel"/>
    <w:tmpl w:val="A6882FA8"/>
    <w:lvl w:ilvl="0" w:tplc="A9AE070C">
      <w:start w:val="1"/>
      <w:numFmt w:val="lowerLetter"/>
      <w:pStyle w:val="rkovnatokazaodstavkoma"/>
      <w:lvlText w:val="(%1)"/>
      <w:lvlJc w:val="left"/>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74180C"/>
    <w:multiLevelType w:val="hybridMultilevel"/>
    <w:tmpl w:val="0C7C3D5A"/>
    <w:lvl w:ilvl="0" w:tplc="F71A5A7C">
      <w:start w:val="1"/>
      <w:numFmt w:val="upperLetter"/>
      <w:pStyle w:val="rkovnatokazaodstavkomA0"/>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6" w15:restartNumberingAfterBreak="0">
    <w:nsid w:val="3790577F"/>
    <w:multiLevelType w:val="hybridMultilevel"/>
    <w:tmpl w:val="15F22F7A"/>
    <w:lvl w:ilvl="0" w:tplc="E6888A80">
      <w:start w:val="1"/>
      <w:numFmt w:val="lowerRoman"/>
      <w:pStyle w:val="rkovnatokazaodstavkomi"/>
      <w:lvlText w:val="(%1)"/>
      <w:lvlJc w:val="left"/>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8FD7649"/>
    <w:multiLevelType w:val="hybridMultilevel"/>
    <w:tmpl w:val="9DF0875E"/>
    <w:lvl w:ilvl="0" w:tplc="8D08FA1E">
      <w:start w:val="1"/>
      <w:numFmt w:val="lowerLetter"/>
      <w:pStyle w:val="rkovnatokazatevilnotoko"/>
      <w:lvlText w:val="%1)"/>
      <w:lvlJc w:val="left"/>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8" w15:restartNumberingAfterBreak="0">
    <w:nsid w:val="39745F03"/>
    <w:multiLevelType w:val="hybridMultilevel"/>
    <w:tmpl w:val="87ECF192"/>
    <w:lvl w:ilvl="0" w:tplc="3174BCF6">
      <w:start w:val="1"/>
      <w:numFmt w:val="lowerLetter"/>
      <w:pStyle w:val="rkovnatokazaodstavkoma1"/>
      <w:lvlText w:val="%1."/>
      <w:lvlJc w:val="left"/>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10" w15:restartNumberingAfterBreak="0">
    <w:nsid w:val="3F211C7E"/>
    <w:multiLevelType w:val="hybridMultilevel"/>
    <w:tmpl w:val="C9DCA85A"/>
    <w:lvl w:ilvl="0" w:tplc="D36A316E">
      <w:start w:val="1"/>
      <w:numFmt w:val="upperLetter"/>
      <w:pStyle w:val="rkovnatokazaodstavkomA2"/>
      <w:lvlText w:val="%1."/>
      <w:lvlJc w:val="left"/>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4262FD5"/>
    <w:multiLevelType w:val="hybridMultilevel"/>
    <w:tmpl w:val="E29E8D56"/>
    <w:lvl w:ilvl="0" w:tplc="37DECC5E">
      <w:start w:val="1"/>
      <w:numFmt w:val="lowerLetter"/>
      <w:pStyle w:val="rkovnatokazaodstavkom"/>
      <w:lvlText w:val="%1)"/>
      <w:lvlJc w:val="left"/>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EAE2167"/>
    <w:multiLevelType w:val="multilevel"/>
    <w:tmpl w:val="99CA707C"/>
    <w:lvl w:ilvl="0">
      <w:start w:val="1"/>
      <w:numFmt w:val="decimal"/>
      <w:pStyle w:val="tevilnatoka"/>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rPr>
        <w:rFonts w:cs="Times New Roman" w:hint="default"/>
        <w:b w:val="0"/>
        <w:bCs w:val="0"/>
        <w:i w:val="0"/>
        <w:iCs w:val="0"/>
        <w:caps w:val="0"/>
        <w:smallCaps w:val="0"/>
        <w:strike w:val="0"/>
        <w:dstrike w:val="0"/>
        <w:vanish w:val="0"/>
        <w:color w:val="000000"/>
        <w:spacing w:val="-2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1444" w:hanging="876"/>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69791463"/>
    <w:multiLevelType w:val="hybridMultilevel"/>
    <w:tmpl w:val="9C864EFC"/>
    <w:lvl w:ilvl="0" w:tplc="8F52D806">
      <w:start w:val="1"/>
      <w:numFmt w:val="upperLetter"/>
      <w:pStyle w:val="rkovnatokazaodstavkomA3"/>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A870AC5"/>
    <w:multiLevelType w:val="hybridMultilevel"/>
    <w:tmpl w:val="97DE938C"/>
    <w:lvl w:ilvl="0" w:tplc="C5B8A3A0">
      <w:start w:val="1"/>
      <w:numFmt w:val="bullet"/>
      <w:pStyle w:val="Alineazaodstavkom"/>
      <w:lvlText w:val="-"/>
      <w:lvlJc w:val="left"/>
      <w:pPr>
        <w:tabs>
          <w:tab w:val="num" w:pos="993"/>
        </w:tabs>
        <w:ind w:left="993" w:hanging="425"/>
      </w:pPr>
      <w:rPr>
        <w:rFonts w:ascii="Arial" w:hAnsi="Arial" w:hint="default"/>
      </w:rPr>
    </w:lvl>
    <w:lvl w:ilvl="1" w:tplc="04090003">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6" w15:restartNumberingAfterBreak="0">
    <w:nsid w:val="6FC07B07"/>
    <w:multiLevelType w:val="hybridMultilevel"/>
    <w:tmpl w:val="988007DE"/>
    <w:lvl w:ilvl="0" w:tplc="80FA68C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AC36C4E"/>
    <w:multiLevelType w:val="hybridMultilevel"/>
    <w:tmpl w:val="6C6CFB76"/>
    <w:lvl w:ilvl="0" w:tplc="02BC5AB6">
      <w:start w:val="1"/>
      <w:numFmt w:val="upperLetter"/>
      <w:pStyle w:val="rkovnatokazatevilnotokoA1"/>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8"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740521488">
    <w:abstractNumId w:val="2"/>
  </w:num>
  <w:num w:numId="2" w16cid:durableId="1980374069">
    <w:abstractNumId w:val="15"/>
  </w:num>
  <w:num w:numId="3" w16cid:durableId="2013214318">
    <w:abstractNumId w:val="3"/>
  </w:num>
  <w:num w:numId="4" w16cid:durableId="22436839">
    <w:abstractNumId w:val="10"/>
  </w:num>
  <w:num w:numId="5" w16cid:durableId="1414737460">
    <w:abstractNumId w:val="18"/>
  </w:num>
  <w:num w:numId="6" w16cid:durableId="1435898675">
    <w:abstractNumId w:val="7"/>
  </w:num>
  <w:num w:numId="7" w16cid:durableId="1793162568">
    <w:abstractNumId w:val="1"/>
  </w:num>
  <w:num w:numId="8" w16cid:durableId="1916671752">
    <w:abstractNumId w:val="9"/>
  </w:num>
  <w:num w:numId="9" w16cid:durableId="1302152971">
    <w:abstractNumId w:val="8"/>
  </w:num>
  <w:num w:numId="10" w16cid:durableId="395058589">
    <w:abstractNumId w:val="11"/>
  </w:num>
  <w:num w:numId="11" w16cid:durableId="1432823601">
    <w:abstractNumId w:val="12"/>
  </w:num>
  <w:num w:numId="12" w16cid:durableId="103498211">
    <w:abstractNumId w:val="6"/>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16cid:durableId="1915432026">
    <w:abstractNumId w:val="13"/>
  </w:num>
  <w:num w:numId="14" w16cid:durableId="1447577323">
    <w:abstractNumId w:val="4"/>
  </w:num>
  <w:num w:numId="15" w16cid:durableId="107548255">
    <w:abstractNumId w:val="14"/>
  </w:num>
  <w:num w:numId="16" w16cid:durableId="1834953101">
    <w:abstractNumId w:val="17"/>
  </w:num>
  <w:num w:numId="17" w16cid:durableId="537083433">
    <w:abstractNumId w:val="5"/>
  </w:num>
  <w:num w:numId="18" w16cid:durableId="1981571470">
    <w:abstractNumId w:val="0"/>
  </w:num>
  <w:num w:numId="19" w16cid:durableId="5678096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3E"/>
    <w:rsid w:val="0000121D"/>
    <w:rsid w:val="00014217"/>
    <w:rsid w:val="00015D71"/>
    <w:rsid w:val="000175F5"/>
    <w:rsid w:val="00021AB5"/>
    <w:rsid w:val="0002651B"/>
    <w:rsid w:val="0003335F"/>
    <w:rsid w:val="00034A34"/>
    <w:rsid w:val="00037EEE"/>
    <w:rsid w:val="0004451F"/>
    <w:rsid w:val="0004576D"/>
    <w:rsid w:val="00062A89"/>
    <w:rsid w:val="00070767"/>
    <w:rsid w:val="000771DE"/>
    <w:rsid w:val="000814D5"/>
    <w:rsid w:val="00086879"/>
    <w:rsid w:val="00095564"/>
    <w:rsid w:val="000B3169"/>
    <w:rsid w:val="000C37D4"/>
    <w:rsid w:val="000C4827"/>
    <w:rsid w:val="000D01A7"/>
    <w:rsid w:val="000D0761"/>
    <w:rsid w:val="000D11D9"/>
    <w:rsid w:val="000D675F"/>
    <w:rsid w:val="000E0C5D"/>
    <w:rsid w:val="000E3866"/>
    <w:rsid w:val="000E565C"/>
    <w:rsid w:val="000F2990"/>
    <w:rsid w:val="000F58ED"/>
    <w:rsid w:val="00103C64"/>
    <w:rsid w:val="00104ACD"/>
    <w:rsid w:val="001105B3"/>
    <w:rsid w:val="001151C8"/>
    <w:rsid w:val="0011749B"/>
    <w:rsid w:val="00117C2B"/>
    <w:rsid w:val="00122D32"/>
    <w:rsid w:val="00133B19"/>
    <w:rsid w:val="00134138"/>
    <w:rsid w:val="001552BA"/>
    <w:rsid w:val="001568DB"/>
    <w:rsid w:val="00165141"/>
    <w:rsid w:val="00172419"/>
    <w:rsid w:val="0018295B"/>
    <w:rsid w:val="001864CD"/>
    <w:rsid w:val="0019232A"/>
    <w:rsid w:val="001B6BB5"/>
    <w:rsid w:val="001B77C8"/>
    <w:rsid w:val="001C7121"/>
    <w:rsid w:val="001E1724"/>
    <w:rsid w:val="001F0F48"/>
    <w:rsid w:val="00202E68"/>
    <w:rsid w:val="00203474"/>
    <w:rsid w:val="00207DB1"/>
    <w:rsid w:val="00214834"/>
    <w:rsid w:val="00214F1F"/>
    <w:rsid w:val="002444F9"/>
    <w:rsid w:val="00246EF9"/>
    <w:rsid w:val="002534B5"/>
    <w:rsid w:val="00261112"/>
    <w:rsid w:val="00264876"/>
    <w:rsid w:val="00266E16"/>
    <w:rsid w:val="00270931"/>
    <w:rsid w:val="002749D7"/>
    <w:rsid w:val="00276BF0"/>
    <w:rsid w:val="002A652C"/>
    <w:rsid w:val="002A74B2"/>
    <w:rsid w:val="002B29AF"/>
    <w:rsid w:val="002C3281"/>
    <w:rsid w:val="002D0896"/>
    <w:rsid w:val="002D2FF7"/>
    <w:rsid w:val="002E5E24"/>
    <w:rsid w:val="002E62C0"/>
    <w:rsid w:val="003031B8"/>
    <w:rsid w:val="003155ED"/>
    <w:rsid w:val="00317081"/>
    <w:rsid w:val="0031718A"/>
    <w:rsid w:val="003172D4"/>
    <w:rsid w:val="00323172"/>
    <w:rsid w:val="00324AE1"/>
    <w:rsid w:val="00332203"/>
    <w:rsid w:val="00334A76"/>
    <w:rsid w:val="00340E88"/>
    <w:rsid w:val="00343AEB"/>
    <w:rsid w:val="00346FB3"/>
    <w:rsid w:val="003522BB"/>
    <w:rsid w:val="0035304A"/>
    <w:rsid w:val="00357591"/>
    <w:rsid w:val="00362CD2"/>
    <w:rsid w:val="00376CD2"/>
    <w:rsid w:val="003815D1"/>
    <w:rsid w:val="00381D10"/>
    <w:rsid w:val="00390635"/>
    <w:rsid w:val="003932A6"/>
    <w:rsid w:val="003A2004"/>
    <w:rsid w:val="003A3EC6"/>
    <w:rsid w:val="003A52A5"/>
    <w:rsid w:val="003B3A62"/>
    <w:rsid w:val="003B47A8"/>
    <w:rsid w:val="003C3CE1"/>
    <w:rsid w:val="003C4588"/>
    <w:rsid w:val="003D376B"/>
    <w:rsid w:val="003D5169"/>
    <w:rsid w:val="003F57AD"/>
    <w:rsid w:val="00401334"/>
    <w:rsid w:val="004021EC"/>
    <w:rsid w:val="00410EA3"/>
    <w:rsid w:val="0041243C"/>
    <w:rsid w:val="00423CF0"/>
    <w:rsid w:val="0042406C"/>
    <w:rsid w:val="00427F6E"/>
    <w:rsid w:val="00431B0B"/>
    <w:rsid w:val="00437964"/>
    <w:rsid w:val="0044208E"/>
    <w:rsid w:val="00443548"/>
    <w:rsid w:val="00450AC4"/>
    <w:rsid w:val="0046161D"/>
    <w:rsid w:val="00466C7F"/>
    <w:rsid w:val="00471815"/>
    <w:rsid w:val="00472702"/>
    <w:rsid w:val="0047607F"/>
    <w:rsid w:val="00477EE4"/>
    <w:rsid w:val="0049015E"/>
    <w:rsid w:val="00492506"/>
    <w:rsid w:val="0049717C"/>
    <w:rsid w:val="004A1DED"/>
    <w:rsid w:val="004A4904"/>
    <w:rsid w:val="004A7755"/>
    <w:rsid w:val="004B3C57"/>
    <w:rsid w:val="004B5568"/>
    <w:rsid w:val="004B73C2"/>
    <w:rsid w:val="004C44DA"/>
    <w:rsid w:val="004C5226"/>
    <w:rsid w:val="004C6759"/>
    <w:rsid w:val="004D3599"/>
    <w:rsid w:val="004D657D"/>
    <w:rsid w:val="004D78F5"/>
    <w:rsid w:val="004E15E0"/>
    <w:rsid w:val="004E51E6"/>
    <w:rsid w:val="004E776B"/>
    <w:rsid w:val="004F06B5"/>
    <w:rsid w:val="004F0A17"/>
    <w:rsid w:val="004F4148"/>
    <w:rsid w:val="005117A5"/>
    <w:rsid w:val="0051278F"/>
    <w:rsid w:val="00513832"/>
    <w:rsid w:val="00516F80"/>
    <w:rsid w:val="005170F7"/>
    <w:rsid w:val="00522A41"/>
    <w:rsid w:val="00523EE5"/>
    <w:rsid w:val="005277D2"/>
    <w:rsid w:val="005428E3"/>
    <w:rsid w:val="00553D77"/>
    <w:rsid w:val="00571204"/>
    <w:rsid w:val="005821F3"/>
    <w:rsid w:val="0058694C"/>
    <w:rsid w:val="00594537"/>
    <w:rsid w:val="005A022B"/>
    <w:rsid w:val="005A1F6C"/>
    <w:rsid w:val="005A7D43"/>
    <w:rsid w:val="005B2D7D"/>
    <w:rsid w:val="005B418A"/>
    <w:rsid w:val="005B51A2"/>
    <w:rsid w:val="005C5321"/>
    <w:rsid w:val="005D0D55"/>
    <w:rsid w:val="005D34F7"/>
    <w:rsid w:val="005D4B31"/>
    <w:rsid w:val="005D62A2"/>
    <w:rsid w:val="005E0D29"/>
    <w:rsid w:val="005F0EC7"/>
    <w:rsid w:val="005F213A"/>
    <w:rsid w:val="005F44C7"/>
    <w:rsid w:val="00603331"/>
    <w:rsid w:val="00606AFE"/>
    <w:rsid w:val="006119A9"/>
    <w:rsid w:val="006202C8"/>
    <w:rsid w:val="00621CD8"/>
    <w:rsid w:val="00625CE5"/>
    <w:rsid w:val="00632B36"/>
    <w:rsid w:val="00634A34"/>
    <w:rsid w:val="00644D83"/>
    <w:rsid w:val="00645D98"/>
    <w:rsid w:val="006530F5"/>
    <w:rsid w:val="00653C19"/>
    <w:rsid w:val="006606AA"/>
    <w:rsid w:val="00681399"/>
    <w:rsid w:val="006836D0"/>
    <w:rsid w:val="00684CEB"/>
    <w:rsid w:val="006945F9"/>
    <w:rsid w:val="00695F97"/>
    <w:rsid w:val="006A4C74"/>
    <w:rsid w:val="006B46E3"/>
    <w:rsid w:val="006C16AB"/>
    <w:rsid w:val="006C3E3E"/>
    <w:rsid w:val="006D352C"/>
    <w:rsid w:val="006D65A2"/>
    <w:rsid w:val="006E0006"/>
    <w:rsid w:val="006E055E"/>
    <w:rsid w:val="0070062B"/>
    <w:rsid w:val="00702560"/>
    <w:rsid w:val="007065A5"/>
    <w:rsid w:val="00706811"/>
    <w:rsid w:val="007304F4"/>
    <w:rsid w:val="0073050A"/>
    <w:rsid w:val="007359F6"/>
    <w:rsid w:val="00740BE7"/>
    <w:rsid w:val="00743D0B"/>
    <w:rsid w:val="00746125"/>
    <w:rsid w:val="00754DC8"/>
    <w:rsid w:val="0075750B"/>
    <w:rsid w:val="007612A4"/>
    <w:rsid w:val="00761452"/>
    <w:rsid w:val="00761907"/>
    <w:rsid w:val="00762B97"/>
    <w:rsid w:val="00766096"/>
    <w:rsid w:val="007724A3"/>
    <w:rsid w:val="00797225"/>
    <w:rsid w:val="00797B47"/>
    <w:rsid w:val="007A3810"/>
    <w:rsid w:val="007A3E2F"/>
    <w:rsid w:val="007A4D5D"/>
    <w:rsid w:val="007A6755"/>
    <w:rsid w:val="007B1C11"/>
    <w:rsid w:val="007C01E1"/>
    <w:rsid w:val="007C2E74"/>
    <w:rsid w:val="007D08CA"/>
    <w:rsid w:val="007D37F1"/>
    <w:rsid w:val="007E0C52"/>
    <w:rsid w:val="007E1A23"/>
    <w:rsid w:val="007F2E7F"/>
    <w:rsid w:val="00806868"/>
    <w:rsid w:val="0082011F"/>
    <w:rsid w:val="00823907"/>
    <w:rsid w:val="008328E9"/>
    <w:rsid w:val="00833D61"/>
    <w:rsid w:val="00840778"/>
    <w:rsid w:val="00840F2B"/>
    <w:rsid w:val="00862EE2"/>
    <w:rsid w:val="00863E99"/>
    <w:rsid w:val="00875209"/>
    <w:rsid w:val="00880D97"/>
    <w:rsid w:val="008913F5"/>
    <w:rsid w:val="008929B8"/>
    <w:rsid w:val="00893316"/>
    <w:rsid w:val="00895C21"/>
    <w:rsid w:val="008B0C8F"/>
    <w:rsid w:val="008B3362"/>
    <w:rsid w:val="008B6CB5"/>
    <w:rsid w:val="008D067F"/>
    <w:rsid w:val="008E6C20"/>
    <w:rsid w:val="008F2DDA"/>
    <w:rsid w:val="00903BA6"/>
    <w:rsid w:val="00904EF5"/>
    <w:rsid w:val="009205F3"/>
    <w:rsid w:val="00921884"/>
    <w:rsid w:val="0092478A"/>
    <w:rsid w:val="0093041B"/>
    <w:rsid w:val="0094304D"/>
    <w:rsid w:val="00946BFD"/>
    <w:rsid w:val="00951C7B"/>
    <w:rsid w:val="00956A80"/>
    <w:rsid w:val="00960825"/>
    <w:rsid w:val="00967D6A"/>
    <w:rsid w:val="0097165C"/>
    <w:rsid w:val="00995B8E"/>
    <w:rsid w:val="009A5F4C"/>
    <w:rsid w:val="009B336C"/>
    <w:rsid w:val="009B4B39"/>
    <w:rsid w:val="009C7CBD"/>
    <w:rsid w:val="009C7DEB"/>
    <w:rsid w:val="009D1FD0"/>
    <w:rsid w:val="009D3061"/>
    <w:rsid w:val="009F0857"/>
    <w:rsid w:val="009F22BE"/>
    <w:rsid w:val="00A03E7D"/>
    <w:rsid w:val="00A14B5C"/>
    <w:rsid w:val="00A229FE"/>
    <w:rsid w:val="00A22CEF"/>
    <w:rsid w:val="00A23CE1"/>
    <w:rsid w:val="00A31972"/>
    <w:rsid w:val="00A327F1"/>
    <w:rsid w:val="00A32C18"/>
    <w:rsid w:val="00A40E63"/>
    <w:rsid w:val="00A44E9C"/>
    <w:rsid w:val="00A5051F"/>
    <w:rsid w:val="00A607C7"/>
    <w:rsid w:val="00A769EA"/>
    <w:rsid w:val="00A80807"/>
    <w:rsid w:val="00A91E00"/>
    <w:rsid w:val="00A94866"/>
    <w:rsid w:val="00A95FEE"/>
    <w:rsid w:val="00A96503"/>
    <w:rsid w:val="00AA2A81"/>
    <w:rsid w:val="00AA5D87"/>
    <w:rsid w:val="00AB4306"/>
    <w:rsid w:val="00AB7452"/>
    <w:rsid w:val="00AC6273"/>
    <w:rsid w:val="00AD1F35"/>
    <w:rsid w:val="00AD7786"/>
    <w:rsid w:val="00AE7827"/>
    <w:rsid w:val="00B14598"/>
    <w:rsid w:val="00B162E7"/>
    <w:rsid w:val="00B17BA2"/>
    <w:rsid w:val="00B3476E"/>
    <w:rsid w:val="00B3609A"/>
    <w:rsid w:val="00B37BB1"/>
    <w:rsid w:val="00B406C3"/>
    <w:rsid w:val="00B476DB"/>
    <w:rsid w:val="00B53CC6"/>
    <w:rsid w:val="00B549B6"/>
    <w:rsid w:val="00B61950"/>
    <w:rsid w:val="00B63627"/>
    <w:rsid w:val="00B669FC"/>
    <w:rsid w:val="00B705E5"/>
    <w:rsid w:val="00B71082"/>
    <w:rsid w:val="00B726EB"/>
    <w:rsid w:val="00B770DA"/>
    <w:rsid w:val="00B77FD0"/>
    <w:rsid w:val="00B870B1"/>
    <w:rsid w:val="00B929F8"/>
    <w:rsid w:val="00BA075B"/>
    <w:rsid w:val="00BA4DF6"/>
    <w:rsid w:val="00BB2A80"/>
    <w:rsid w:val="00BC122E"/>
    <w:rsid w:val="00BC6765"/>
    <w:rsid w:val="00BD1B70"/>
    <w:rsid w:val="00BF5DFE"/>
    <w:rsid w:val="00BF7DAF"/>
    <w:rsid w:val="00C0362A"/>
    <w:rsid w:val="00C15992"/>
    <w:rsid w:val="00C348EE"/>
    <w:rsid w:val="00C425DB"/>
    <w:rsid w:val="00C42D98"/>
    <w:rsid w:val="00C44C0C"/>
    <w:rsid w:val="00C473A4"/>
    <w:rsid w:val="00C55641"/>
    <w:rsid w:val="00C64119"/>
    <w:rsid w:val="00C64ACE"/>
    <w:rsid w:val="00C6691A"/>
    <w:rsid w:val="00C712B5"/>
    <w:rsid w:val="00C71C33"/>
    <w:rsid w:val="00C7566B"/>
    <w:rsid w:val="00C83839"/>
    <w:rsid w:val="00C83B6B"/>
    <w:rsid w:val="00C85BBC"/>
    <w:rsid w:val="00C87645"/>
    <w:rsid w:val="00CB1E97"/>
    <w:rsid w:val="00CC4502"/>
    <w:rsid w:val="00CC57BF"/>
    <w:rsid w:val="00CD53FB"/>
    <w:rsid w:val="00CE7945"/>
    <w:rsid w:val="00CF2D8C"/>
    <w:rsid w:val="00CF584E"/>
    <w:rsid w:val="00D00723"/>
    <w:rsid w:val="00D02E00"/>
    <w:rsid w:val="00D03E95"/>
    <w:rsid w:val="00D078D4"/>
    <w:rsid w:val="00D11299"/>
    <w:rsid w:val="00D16332"/>
    <w:rsid w:val="00D4046B"/>
    <w:rsid w:val="00D54CBA"/>
    <w:rsid w:val="00D55E62"/>
    <w:rsid w:val="00D764BC"/>
    <w:rsid w:val="00D83A2D"/>
    <w:rsid w:val="00D97FA1"/>
    <w:rsid w:val="00DA2B63"/>
    <w:rsid w:val="00DA4D0D"/>
    <w:rsid w:val="00DB075B"/>
    <w:rsid w:val="00DC0ABD"/>
    <w:rsid w:val="00DC261C"/>
    <w:rsid w:val="00DC360A"/>
    <w:rsid w:val="00DC4AEF"/>
    <w:rsid w:val="00DD0D38"/>
    <w:rsid w:val="00DE17BD"/>
    <w:rsid w:val="00DE6E6D"/>
    <w:rsid w:val="00DF2C6F"/>
    <w:rsid w:val="00DF4144"/>
    <w:rsid w:val="00E14EE6"/>
    <w:rsid w:val="00E245DB"/>
    <w:rsid w:val="00E248D1"/>
    <w:rsid w:val="00E309B3"/>
    <w:rsid w:val="00E31D28"/>
    <w:rsid w:val="00E32A01"/>
    <w:rsid w:val="00E42499"/>
    <w:rsid w:val="00E43C4B"/>
    <w:rsid w:val="00E47D34"/>
    <w:rsid w:val="00E65820"/>
    <w:rsid w:val="00E734D5"/>
    <w:rsid w:val="00E764FB"/>
    <w:rsid w:val="00E8169A"/>
    <w:rsid w:val="00E82FC2"/>
    <w:rsid w:val="00E87EDF"/>
    <w:rsid w:val="00E929CA"/>
    <w:rsid w:val="00E97D3A"/>
    <w:rsid w:val="00EB0369"/>
    <w:rsid w:val="00EC302F"/>
    <w:rsid w:val="00EC371B"/>
    <w:rsid w:val="00ED3BC1"/>
    <w:rsid w:val="00ED43F6"/>
    <w:rsid w:val="00EE3744"/>
    <w:rsid w:val="00EF735A"/>
    <w:rsid w:val="00F013B9"/>
    <w:rsid w:val="00F03A05"/>
    <w:rsid w:val="00F130A1"/>
    <w:rsid w:val="00F1519E"/>
    <w:rsid w:val="00F276BB"/>
    <w:rsid w:val="00F27D36"/>
    <w:rsid w:val="00F329B6"/>
    <w:rsid w:val="00F4314D"/>
    <w:rsid w:val="00F47AE9"/>
    <w:rsid w:val="00F53275"/>
    <w:rsid w:val="00F668AA"/>
    <w:rsid w:val="00F72D9B"/>
    <w:rsid w:val="00F80BFC"/>
    <w:rsid w:val="00F81D78"/>
    <w:rsid w:val="00F857C8"/>
    <w:rsid w:val="00FA3311"/>
    <w:rsid w:val="00FA628D"/>
    <w:rsid w:val="00FA6690"/>
    <w:rsid w:val="00FB0FCB"/>
    <w:rsid w:val="00FB73B7"/>
    <w:rsid w:val="00FC015C"/>
    <w:rsid w:val="00FC2545"/>
    <w:rsid w:val="00FC7142"/>
    <w:rsid w:val="00FE1C60"/>
    <w:rsid w:val="00FE61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6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locked="0" w:uiPriority="0"/>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locked="0" w:semiHidden="1" w:uiPriority="0" w:unhideWhenUsed="1"/>
    <w:lsdException w:name="header" w:locked="0" w:semiHidden="1" w:uiPriority="0" w:unhideWhenUsed="1"/>
    <w:lsdException w:name="footer" w:locked="0"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locked="0"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avaden">
    <w:name w:val="Normal"/>
    <w:rsid w:val="00644D83"/>
    <w:pPr>
      <w:overflowPunct w:val="0"/>
      <w:autoSpaceDE w:val="0"/>
      <w:autoSpaceDN w:val="0"/>
      <w:adjustRightInd w:val="0"/>
      <w:jc w:val="both"/>
      <w:textAlignment w:val="baseline"/>
    </w:pPr>
    <w:rPr>
      <w:rFonts w:ascii="Arial" w:eastAsia="Times New Roman" w:hAnsi="Arial"/>
      <w:sz w:val="22"/>
      <w:szCs w:val="16"/>
    </w:rPr>
  </w:style>
  <w:style w:type="paragraph" w:styleId="Naslov4">
    <w:name w:val="heading 4"/>
    <w:aliases w:val="Grafika"/>
    <w:basedOn w:val="Navaden"/>
    <w:next w:val="Odstavek"/>
    <w:link w:val="Naslov4Znak"/>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bCs/>
      <w:color w:val="000000"/>
      <w:szCs w:val="27"/>
      <w:lang w:val="x-none" w:eastAsia="x-none"/>
    </w:rPr>
  </w:style>
  <w:style w:type="paragraph" w:styleId="Naslov5">
    <w:name w:val="heading 5"/>
    <w:basedOn w:val="Navaden"/>
    <w:next w:val="Navaden"/>
    <w:link w:val="Naslov5Znak"/>
    <w:unhideWhenUsed/>
    <w:qFormat/>
    <w:locked/>
    <w:rsid w:val="00BA4DF6"/>
    <w:pPr>
      <w:overflowPunct/>
      <w:autoSpaceDE/>
      <w:autoSpaceDN/>
      <w:adjustRightInd/>
      <w:spacing w:before="240" w:after="60" w:line="260" w:lineRule="atLeast"/>
      <w:jc w:val="left"/>
      <w:textAlignment w:val="auto"/>
      <w:outlineLvl w:val="4"/>
    </w:pPr>
    <w:rPr>
      <w:rFonts w:ascii="Calibri" w:hAnsi="Calibri"/>
      <w:b/>
      <w:bCs/>
      <w:i/>
      <w:iCs/>
      <w:sz w:val="26"/>
      <w:szCs w:val="26"/>
      <w:lang w:val="x-none" w:eastAsia="en-US"/>
    </w:rPr>
  </w:style>
  <w:style w:type="paragraph" w:styleId="Naslov9">
    <w:name w:val="heading 9"/>
    <w:basedOn w:val="Navaden"/>
    <w:next w:val="Navaden"/>
    <w:link w:val="Naslov9Znak"/>
    <w:unhideWhenUsed/>
    <w:qFormat/>
    <w:locked/>
    <w:rsid w:val="00BA4DF6"/>
    <w:pPr>
      <w:overflowPunct/>
      <w:autoSpaceDE/>
      <w:autoSpaceDN/>
      <w:adjustRightInd/>
      <w:spacing w:before="240" w:after="60" w:line="260" w:lineRule="atLeast"/>
      <w:jc w:val="left"/>
      <w:textAlignment w:val="auto"/>
      <w:outlineLvl w:val="8"/>
    </w:pPr>
    <w:rPr>
      <w:rFonts w:ascii="Cambria" w:hAnsi="Cambria"/>
      <w:szCs w:val="22"/>
      <w:lang w:val="x-none"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Noga">
    <w:name w:val="footer"/>
    <w:basedOn w:val="Navaden"/>
    <w:link w:val="NogaZnak"/>
    <w:uiPriority w:val="99"/>
    <w:semiHidden/>
    <w:unhideWhenUsed/>
    <w:locked/>
    <w:rsid w:val="00653C19"/>
    <w:pPr>
      <w:tabs>
        <w:tab w:val="center" w:pos="4536"/>
        <w:tab w:val="right" w:pos="9072"/>
      </w:tabs>
    </w:pPr>
    <w:rPr>
      <w:rFonts w:ascii="Times New Roman" w:eastAsia="Calibri" w:hAnsi="Times New Roman"/>
      <w:sz w:val="20"/>
      <w:szCs w:val="20"/>
      <w:lang w:val="x-none" w:eastAsia="x-none"/>
    </w:rPr>
  </w:style>
  <w:style w:type="character" w:customStyle="1" w:styleId="NogaZnak">
    <w:name w:val="Noga Znak"/>
    <w:link w:val="Noga"/>
    <w:uiPriority w:val="99"/>
    <w:semiHidden/>
    <w:rsid w:val="00653C19"/>
    <w:rPr>
      <w:rFonts w:ascii="Times New Roman" w:hAnsi="Times New Roman"/>
    </w:rPr>
  </w:style>
  <w:style w:type="paragraph" w:styleId="Glava">
    <w:name w:val="header"/>
    <w:aliases w:val="Header-PR,Header1"/>
    <w:basedOn w:val="Navaden"/>
    <w:link w:val="GlavaZnak"/>
    <w:locked/>
    <w:rsid w:val="00443548"/>
    <w:pPr>
      <w:tabs>
        <w:tab w:val="center" w:pos="4536"/>
        <w:tab w:val="right" w:pos="9072"/>
      </w:tabs>
    </w:pPr>
    <w:rPr>
      <w:sz w:val="16"/>
      <w:lang w:val="x-none"/>
    </w:rPr>
  </w:style>
  <w:style w:type="character" w:customStyle="1" w:styleId="GlavaZnak">
    <w:name w:val="Glava Znak"/>
    <w:aliases w:val="Header-PR Znak,Header1 Znak"/>
    <w:link w:val="Glava"/>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b/>
      <w:bCs/>
      <w:color w:val="000000"/>
      <w:spacing w:val="40"/>
      <w:szCs w:val="22"/>
      <w:lang w:val="x-none" w:eastAsia="x-none"/>
    </w:rPr>
  </w:style>
  <w:style w:type="paragraph" w:customStyle="1" w:styleId="Naslovpredpisa">
    <w:name w:val="Naslov_predpisa"/>
    <w:basedOn w:val="Navaden"/>
    <w:link w:val="NaslovpredpisaZnak"/>
    <w:qFormat/>
    <w:rsid w:val="00FA628D"/>
    <w:pPr>
      <w:suppressAutoHyphens/>
      <w:jc w:val="center"/>
    </w:pPr>
    <w:rPr>
      <w:b/>
      <w:szCs w:val="22"/>
      <w:lang w:val="x-none" w:eastAsia="x-none"/>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b/>
      <w:szCs w:val="22"/>
      <w:lang w:val="x-none" w:eastAsia="x-none"/>
    </w:rPr>
  </w:style>
  <w:style w:type="paragraph" w:customStyle="1" w:styleId="tevilnatoka111">
    <w:name w:val="Številčna točka 1.1.1"/>
    <w:basedOn w:val="Navaden"/>
    <w:qFormat/>
    <w:rsid w:val="00202E68"/>
    <w:pPr>
      <w:widowControl w:val="0"/>
      <w:numPr>
        <w:ilvl w:val="2"/>
        <w:numId w:val="13"/>
      </w:numPr>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rPr>
      <w:szCs w:val="22"/>
      <w:lang w:val="x-none" w:eastAsia="x-none"/>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basedOn w:val="AlineazatevilnotokoZnak"/>
    <w:link w:val="Alinejazarkovnotoko"/>
    <w:rsid w:val="004C5226"/>
    <w:rPr>
      <w:rFonts w:ascii="Arial" w:eastAsia="Times New Roman" w:hAnsi="Arial" w:cs="Arial"/>
      <w:sz w:val="22"/>
      <w:szCs w:val="22"/>
      <w:lang w:val="x-none" w:eastAsia="x-none"/>
    </w:rPr>
  </w:style>
  <w:style w:type="paragraph" w:customStyle="1" w:styleId="rkovnatokazatevilnotokoa2">
    <w:name w:val="Črkovna točka za številčno točko (a)"/>
    <w:basedOn w:val="rkovnatokazatevilnotoko"/>
    <w:rsid w:val="005C5321"/>
    <w:pPr>
      <w:numPr>
        <w:numId w:val="5"/>
      </w:numPr>
    </w:pPr>
  </w:style>
  <w:style w:type="paragraph" w:styleId="Odstavekseznama">
    <w:name w:val="List Paragraph"/>
    <w:aliases w:val="numbered list,2,OBC Bullet,Normal 1,Task Body,Viñetas (Inicio Parrafo),Paragrafo elenco,3 Txt tabla,Zerrenda-paragrafoa,Fiche List Paragraph,Dot pt,F5 List Paragraph,List Paragraph1,No Spacing1,List Paragraph Char Char Char,naslov 1,3"/>
    <w:basedOn w:val="Navaden"/>
    <w:link w:val="OdstavekseznamaZnak"/>
    <w:uiPriority w:val="34"/>
    <w:qFormat/>
    <w:locked/>
    <w:rsid w:val="00AA2A81"/>
    <w:pPr>
      <w:ind w:left="708"/>
    </w:pPr>
  </w:style>
  <w:style w:type="paragraph" w:customStyle="1" w:styleId="Prehodneinkoncnedolocbe">
    <w:name w:val="Prehodne in koncne dolocbe"/>
    <w:basedOn w:val="Navaden"/>
    <w:rsid w:val="00875209"/>
    <w:pPr>
      <w:spacing w:before="400" w:after="600"/>
    </w:pPr>
    <w:rPr>
      <w:b/>
    </w:rPr>
  </w:style>
  <w:style w:type="paragraph" w:styleId="Besedilooblaka">
    <w:name w:val="Balloon Text"/>
    <w:basedOn w:val="Navaden"/>
    <w:link w:val="BesedilooblakaZnak"/>
    <w:uiPriority w:val="99"/>
    <w:semiHidden/>
    <w:unhideWhenUsed/>
    <w:locked/>
    <w:rsid w:val="006E055E"/>
    <w:rPr>
      <w:rFonts w:ascii="Tahoma" w:hAnsi="Tahoma"/>
      <w:sz w:val="16"/>
      <w:lang w:val="x-none" w:eastAsia="x-none"/>
    </w:rPr>
  </w:style>
  <w:style w:type="character" w:customStyle="1" w:styleId="BesedilooblakaZnak">
    <w:name w:val="Besedilo oblačka Znak"/>
    <w:link w:val="Besedilooblaka"/>
    <w:uiPriority w:val="99"/>
    <w:semiHidden/>
    <w:rsid w:val="006E055E"/>
    <w:rPr>
      <w:rFonts w:ascii="Tahoma" w:eastAsia="Times New Roman" w:hAnsi="Tahoma" w:cs="Tahoma"/>
      <w:sz w:val="16"/>
      <w:szCs w:val="16"/>
    </w:rPr>
  </w:style>
  <w:style w:type="paragraph" w:customStyle="1" w:styleId="Oddelek">
    <w:name w:val="Oddelek"/>
    <w:basedOn w:val="Navaden"/>
    <w:link w:val="OddelekZnak1"/>
    <w:qFormat/>
    <w:rsid w:val="000E565C"/>
    <w:pPr>
      <w:spacing w:before="480"/>
      <w:jc w:val="center"/>
    </w:pPr>
    <w:rPr>
      <w:szCs w:val="22"/>
      <w:lang w:val="x-none" w:eastAsia="x-none"/>
    </w:rPr>
  </w:style>
  <w:style w:type="paragraph" w:customStyle="1" w:styleId="Odsek">
    <w:name w:val="Odsek"/>
    <w:basedOn w:val="Navaden"/>
    <w:link w:val="OdsekZnak"/>
    <w:qFormat/>
    <w:rsid w:val="000E565C"/>
    <w:pPr>
      <w:spacing w:before="480" w:line="240" w:lineRule="atLeast"/>
      <w:jc w:val="center"/>
    </w:pPr>
    <w:rPr>
      <w:rFonts w:cs="Arial"/>
      <w:szCs w:val="22"/>
    </w:rPr>
  </w:style>
  <w:style w:type="paragraph" w:customStyle="1" w:styleId="Del">
    <w:name w:val="Del"/>
    <w:basedOn w:val="Poglavje"/>
    <w:link w:val="DelZnak"/>
    <w:qFormat/>
    <w:rsid w:val="00357591"/>
    <w:rPr>
      <w:rFonts w:cs="Times New Roman"/>
      <w:lang w:val="x-none" w:eastAsia="x-none"/>
    </w:rPr>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basedOn w:val="OddelekZnak1"/>
    <w:link w:val="Odsek"/>
    <w:rsid w:val="000E565C"/>
    <w:rPr>
      <w:rFonts w:ascii="Arial" w:eastAsia="Times New Roman" w:hAnsi="Arial" w:cs="Arial"/>
      <w:sz w:val="22"/>
      <w:szCs w:val="22"/>
    </w:rPr>
  </w:style>
  <w:style w:type="paragraph" w:customStyle="1" w:styleId="Naslovnadlenom">
    <w:name w:val="Naslov nad členom"/>
    <w:basedOn w:val="Navaden"/>
    <w:link w:val="NaslovnadlenomZnak"/>
    <w:qFormat/>
    <w:rsid w:val="00D83A2D"/>
    <w:pPr>
      <w:spacing w:before="480"/>
      <w:jc w:val="center"/>
    </w:pPr>
    <w:rPr>
      <w:b/>
      <w:szCs w:val="22"/>
      <w:lang w:val="x-none" w:eastAsia="x-none"/>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avaden"/>
    <w:link w:val="NazivpodpisnikaZnak"/>
    <w:rsid w:val="00D97FA1"/>
    <w:pPr>
      <w:ind w:left="5670"/>
      <w:jc w:val="center"/>
    </w:pPr>
    <w:rPr>
      <w:szCs w:val="22"/>
      <w:lang w:val="x-none" w:eastAsia="x-none"/>
    </w:r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2E5E24"/>
    <w:pPr>
      <w:numPr>
        <w:numId w:val="10"/>
      </w:numPr>
      <w:contextualSpacing/>
    </w:pPr>
    <w:rPr>
      <w:szCs w:val="22"/>
      <w:lang w:val="x-none" w:eastAsia="x-none"/>
    </w:rPr>
  </w:style>
  <w:style w:type="paragraph" w:customStyle="1" w:styleId="Alineazatevilnotoko">
    <w:name w:val="Alinea za številčno točko"/>
    <w:basedOn w:val="Alineazaodstavkom"/>
    <w:link w:val="AlineazatevilnotokoZnak"/>
    <w:qFormat/>
    <w:rsid w:val="004C5226"/>
    <w:pPr>
      <w:tabs>
        <w:tab w:val="left" w:pos="567"/>
      </w:tabs>
      <w:ind w:left="567" w:hanging="142"/>
    </w:pPr>
  </w:style>
  <w:style w:type="character" w:customStyle="1" w:styleId="rkovnatokazaodstavkomZnak">
    <w:name w:val="Črkovna točka_za odstavkom Znak"/>
    <w:link w:val="rkovnatokazaodstavkom"/>
    <w:rsid w:val="002E5E24"/>
    <w:rPr>
      <w:rFonts w:ascii="Arial" w:eastAsia="Times New Roman" w:hAnsi="Arial"/>
      <w:sz w:val="22"/>
      <w:szCs w:val="22"/>
      <w:lang w:val="x-none" w:eastAsia="x-none"/>
    </w:rPr>
  </w:style>
  <w:style w:type="paragraph" w:customStyle="1" w:styleId="tevilnatoka">
    <w:name w:val="Številčna točka"/>
    <w:basedOn w:val="Navaden"/>
    <w:link w:val="tevilnatokaZnak"/>
    <w:qFormat/>
    <w:rsid w:val="00D97FA1"/>
    <w:pPr>
      <w:numPr>
        <w:numId w:val="13"/>
      </w:numPr>
      <w:overflowPunct/>
      <w:autoSpaceDE/>
      <w:autoSpaceDN/>
      <w:adjustRightInd/>
      <w:textAlignment w:val="auto"/>
    </w:pPr>
    <w:rPr>
      <w:szCs w:val="22"/>
    </w:rPr>
  </w:style>
  <w:style w:type="character" w:customStyle="1" w:styleId="AlineazatevilnotokoZnak">
    <w:name w:val="Alinea za številčno točko Znak"/>
    <w:basedOn w:val="rkovnatokazaodstavkomZnak"/>
    <w:link w:val="Alineazatevilnotoko"/>
    <w:rsid w:val="004C5226"/>
    <w:rPr>
      <w:rFonts w:ascii="Arial" w:eastAsia="Times New Roman" w:hAnsi="Arial" w:cs="Arial"/>
      <w:sz w:val="22"/>
      <w:szCs w:val="22"/>
      <w:lang w:val="x-none" w:eastAsia="x-none"/>
    </w:rPr>
  </w:style>
  <w:style w:type="paragraph" w:customStyle="1" w:styleId="rkovnatokazatevilnotoko">
    <w:name w:val="Črkovna točka za številčno točko"/>
    <w:link w:val="rkovnatokazatevilnotokoZnak"/>
    <w:qFormat/>
    <w:rsid w:val="00FA3311"/>
    <w:pPr>
      <w:numPr>
        <w:numId w:val="6"/>
      </w:numPr>
      <w:jc w:val="both"/>
    </w:pPr>
    <w:rPr>
      <w:rFonts w:ascii="Arial" w:eastAsia="Times New Roman" w:hAnsi="Arial" w:cs="Arial"/>
      <w:sz w:val="22"/>
      <w:szCs w:val="22"/>
    </w:rPr>
  </w:style>
  <w:style w:type="character" w:customStyle="1" w:styleId="tevilnatokaZnak">
    <w:name w:val="Številčna točka Znak"/>
    <w:basedOn w:val="OdstavekZnak"/>
    <w:link w:val="tevilnatoka"/>
    <w:rsid w:val="00D97FA1"/>
    <w:rPr>
      <w:rFonts w:ascii="Arial" w:eastAsia="Times New Roman" w:hAnsi="Arial" w:cs="Arial"/>
      <w:sz w:val="22"/>
      <w:szCs w:val="22"/>
    </w:rPr>
  </w:style>
  <w:style w:type="paragraph" w:customStyle="1" w:styleId="Alineazaodstavkom">
    <w:name w:val="Alinea za odstavkom"/>
    <w:basedOn w:val="Navaden"/>
    <w:link w:val="AlineazaodstavkomZnak"/>
    <w:qFormat/>
    <w:rsid w:val="00FA3311"/>
    <w:pPr>
      <w:numPr>
        <w:numId w:val="2"/>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FA3311"/>
    <w:rPr>
      <w:rFonts w:ascii="Arial" w:eastAsia="Times New Roman" w:hAnsi="Arial" w:cs="Arial"/>
      <w:sz w:val="22"/>
      <w:szCs w:val="22"/>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basedOn w:val="AlineazatevilnotokoZnak"/>
    <w:link w:val="Alineazaodstavkom"/>
    <w:rsid w:val="00FA3311"/>
    <w:rPr>
      <w:rFonts w:ascii="Arial" w:eastAsia="Times New Roman" w:hAnsi="Arial" w:cs="Arial"/>
      <w:sz w:val="22"/>
      <w:szCs w:val="22"/>
      <w:lang w:val="x-none" w:eastAsia="x-none"/>
    </w:rPr>
  </w:style>
  <w:style w:type="paragraph" w:customStyle="1" w:styleId="Datumsprejetja">
    <w:name w:val="Datum sprejetja"/>
    <w:basedOn w:val="Navaden"/>
    <w:link w:val="DatumsprejetjaZnak"/>
    <w:qFormat/>
    <w:rsid w:val="008929B8"/>
    <w:rPr>
      <w:snapToGrid w:val="0"/>
      <w:color w:val="000000"/>
      <w:szCs w:val="22"/>
      <w:lang w:val="x-none" w:eastAsia="x-none"/>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D97FA1"/>
    <w:pPr>
      <w:ind w:left="5670"/>
      <w:jc w:val="center"/>
    </w:pPr>
    <w:rPr>
      <w:rFonts w:cs="Arial"/>
      <w:szCs w:val="22"/>
    </w:r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basedOn w:val="Nazivpodpisnika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basedOn w:val="OdstavekZnak"/>
    <w:link w:val="Pravnapodlaga"/>
    <w:rsid w:val="00357591"/>
    <w:rPr>
      <w:rFonts w:ascii="Arial" w:eastAsia="Times New Roman" w:hAnsi="Arial" w:cs="Arial"/>
      <w:sz w:val="22"/>
      <w:szCs w:val="22"/>
    </w:rPr>
  </w:style>
  <w:style w:type="paragraph" w:customStyle="1" w:styleId="Pododdelek">
    <w:name w:val="Pododdelek"/>
    <w:basedOn w:val="Navaden"/>
    <w:link w:val="PododdelekZnak"/>
    <w:qFormat/>
    <w:rsid w:val="00357591"/>
    <w:pPr>
      <w:tabs>
        <w:tab w:val="left" w:pos="540"/>
        <w:tab w:val="left" w:pos="900"/>
      </w:tabs>
      <w:spacing w:before="480"/>
      <w:jc w:val="center"/>
    </w:pPr>
    <w:rPr>
      <w:szCs w:val="22"/>
      <w:lang w:val="x-none" w:eastAsia="x-none"/>
    </w:rPr>
  </w:style>
  <w:style w:type="character" w:customStyle="1" w:styleId="Komentar-sklic">
    <w:name w:val="Komentar - sklic"/>
    <w:semiHidden/>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avaden"/>
    <w:link w:val="EVAZnak"/>
    <w:qFormat/>
    <w:rsid w:val="008929B8"/>
    <w:rPr>
      <w:szCs w:val="22"/>
      <w:lang w:val="x-none" w:eastAsia="x-none"/>
    </w:rPr>
  </w:style>
  <w:style w:type="paragraph" w:styleId="Navadensplet">
    <w:name w:val="Normal (Web)"/>
    <w:basedOn w:val="Navaden"/>
    <w:uiPriority w:val="99"/>
    <w:semiHidden/>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customStyle="1" w:styleId="Komentar-besedilo">
    <w:name w:val="Komentar - besedilo"/>
    <w:basedOn w:val="Navaden"/>
    <w:link w:val="Komentar-besediloZnak"/>
    <w:semiHidden/>
    <w:locked/>
    <w:rsid w:val="00357591"/>
    <w:pPr>
      <w:overflowPunct/>
      <w:autoSpaceDE/>
      <w:autoSpaceDN/>
      <w:adjustRightInd/>
      <w:textAlignment w:val="auto"/>
    </w:pPr>
    <w:rPr>
      <w:sz w:val="20"/>
      <w:szCs w:val="20"/>
      <w:lang w:val="x-none" w:eastAsia="en-US"/>
    </w:rPr>
  </w:style>
  <w:style w:type="character" w:customStyle="1" w:styleId="Komentar-besediloZnak">
    <w:name w:val="Komentar - besedilo Znak"/>
    <w:link w:val="Komentar-besedilo"/>
    <w:semiHidden/>
    <w:rsid w:val="00357591"/>
    <w:rPr>
      <w:rFonts w:ascii="Arial" w:eastAsia="Times New Roman" w:hAnsi="Arial"/>
      <w:lang w:eastAsia="en-US"/>
    </w:rPr>
  </w:style>
  <w:style w:type="paragraph" w:customStyle="1" w:styleId="Imeorgana">
    <w:name w:val="Ime organa"/>
    <w:basedOn w:val="Navaden"/>
    <w:link w:val="ImeorganaZnak"/>
    <w:qFormat/>
    <w:rsid w:val="00D97FA1"/>
    <w:pPr>
      <w:spacing w:before="480"/>
      <w:ind w:left="5670"/>
      <w:jc w:val="center"/>
    </w:pPr>
    <w:rPr>
      <w:szCs w:val="22"/>
      <w:lang w:val="x-none" w:eastAsia="x-none"/>
    </w:rPr>
  </w:style>
  <w:style w:type="character" w:customStyle="1" w:styleId="Naslov4Znak">
    <w:name w:val="Naslov 4 Znak"/>
    <w:aliases w:val="Grafika Znak"/>
    <w:link w:val="Naslov4"/>
    <w:rsid w:val="001552BA"/>
    <w:rPr>
      <w:rFonts w:ascii="Arial" w:eastAsia="Times New Roman" w:hAnsi="Arial" w:cs="Arial"/>
      <w:bCs/>
      <w:color w:val="000000"/>
      <w:sz w:val="22"/>
      <w:szCs w:val="27"/>
    </w:rPr>
  </w:style>
  <w:style w:type="paragraph" w:styleId="Zadevapripombe">
    <w:name w:val="annotation subject"/>
    <w:basedOn w:val="Komentar-besedilo"/>
    <w:next w:val="Komentar-besedilo"/>
    <w:link w:val="ZadevapripombeZnak"/>
    <w:uiPriority w:val="99"/>
    <w:semiHidden/>
    <w:unhideWhenUsed/>
    <w:locked/>
    <w:rsid w:val="00431B0B"/>
    <w:pPr>
      <w:overflowPunct w:val="0"/>
      <w:autoSpaceDE w:val="0"/>
      <w:autoSpaceDN w:val="0"/>
      <w:adjustRightInd w:val="0"/>
      <w:textAlignment w:val="baseline"/>
    </w:pPr>
    <w:rPr>
      <w:b/>
      <w:bCs/>
      <w:lang w:val="sl-SI" w:eastAsia="sl-SI"/>
    </w:rPr>
  </w:style>
  <w:style w:type="character" w:customStyle="1" w:styleId="ZadevapripombeZnak">
    <w:name w:val="Zadeva pripombe Znak"/>
    <w:link w:val="Zadevapripombe"/>
    <w:uiPriority w:val="99"/>
    <w:semiHidden/>
    <w:rsid w:val="00431B0B"/>
    <w:rPr>
      <w:rFonts w:ascii="Arial" w:eastAsia="Times New Roman" w:hAnsi="Arial"/>
      <w:b/>
      <w:bCs/>
      <w:lang w:eastAsia="en-US"/>
    </w:rPr>
  </w:style>
  <w:style w:type="paragraph" w:customStyle="1" w:styleId="Opozorilo">
    <w:name w:val="Opozorilo"/>
    <w:basedOn w:val="Navaden"/>
    <w:link w:val="OpozoriloZnak"/>
    <w:qFormat/>
    <w:rsid w:val="006E055E"/>
    <w:pPr>
      <w:spacing w:before="480"/>
    </w:pPr>
    <w:rPr>
      <w:color w:val="808080"/>
      <w:szCs w:val="22"/>
      <w:lang w:val="x-none" w:eastAsia="x-none"/>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avaden"/>
    <w:link w:val="PrilogaZnak"/>
    <w:qFormat/>
    <w:rsid w:val="00423CF0"/>
    <w:pPr>
      <w:spacing w:before="380" w:after="60" w:line="200" w:lineRule="exact"/>
    </w:pPr>
    <w:rPr>
      <w:szCs w:val="17"/>
      <w:lang w:val="x-none" w:eastAsia="x-none"/>
    </w:rPr>
  </w:style>
  <w:style w:type="character" w:customStyle="1" w:styleId="lennoveleZnak">
    <w:name w:val="Člen_novele Znak"/>
    <w:basedOn w:val="len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avaden"/>
    <w:link w:val="rtaZnak"/>
    <w:qFormat/>
    <w:rsid w:val="004F06B5"/>
    <w:pPr>
      <w:spacing w:before="360"/>
      <w:jc w:val="center"/>
    </w:pPr>
    <w:rPr>
      <w:szCs w:val="22"/>
      <w:lang w:val="x-none" w:eastAsia="x-none"/>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D97FA1"/>
    <w:pPr>
      <w:numPr>
        <w:numId w:val="0"/>
      </w:numPr>
      <w:ind w:left="425"/>
    </w:pPr>
  </w:style>
  <w:style w:type="character" w:customStyle="1" w:styleId="ZamaknjenadolobaprvinivoZnak">
    <w:name w:val="Zamaknjena določba_prvi nivo Znak"/>
    <w:basedOn w:val="Odstavek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sl-SI" w:eastAsia="sl-SI" w:bidi="ar-SA"/>
    </w:rPr>
  </w:style>
  <w:style w:type="paragraph" w:customStyle="1" w:styleId="Alineazapodtoko">
    <w:name w:val="Alinea za podtočko"/>
    <w:basedOn w:val="Alineazaodstavkom"/>
    <w:link w:val="AlineazapodtokoZnak"/>
    <w:qFormat/>
    <w:rsid w:val="005C5321"/>
    <w:pPr>
      <w:tabs>
        <w:tab w:val="left" w:pos="794"/>
      </w:tabs>
      <w:ind w:left="794" w:hanging="227"/>
    </w:pPr>
    <w:rPr>
      <w:rFonts w:cs="Times New Roman"/>
      <w:lang w:val="x-none" w:eastAsia="x-none"/>
    </w:r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rPr>
      <w:rFonts w:ascii="Arial" w:eastAsia="Times New Roman" w:hAnsi="Arial"/>
      <w:sz w:val="22"/>
      <w:szCs w:val="22"/>
      <w:lang w:val="x-none" w:eastAsia="x-none"/>
    </w:rPr>
  </w:style>
  <w:style w:type="numbering" w:customStyle="1" w:styleId="Alinejazaodstavkom">
    <w:name w:val="Alineja za odstavkom"/>
    <w:uiPriority w:val="99"/>
    <w:rsid w:val="007B1C11"/>
    <w:pPr>
      <w:numPr>
        <w:numId w:val="1"/>
      </w:numPr>
    </w:pPr>
  </w:style>
  <w:style w:type="character" w:customStyle="1" w:styleId="ZamakanjenadolobatretjinivoZnak">
    <w:name w:val="Zamakanjena določba_tretji nivo Znak"/>
    <w:basedOn w:val="ZamaknjenadolobadruginivoZnak"/>
    <w:link w:val="Zamakanjenadolobatretjinivo"/>
    <w:rsid w:val="000E565C"/>
    <w:rPr>
      <w:rFonts w:ascii="Arial" w:eastAsia="Times New Roman" w:hAnsi="Arial" w:cs="Arial"/>
      <w:sz w:val="22"/>
      <w:szCs w:val="22"/>
      <w:lang w:val="sl-SI"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3"/>
      </w:numPr>
      <w:jc w:val="both"/>
    </w:pPr>
    <w:rPr>
      <w:rFonts w:ascii="Arial" w:eastAsia="Times New Roman" w:hAnsi="Arial"/>
      <w:sz w:val="22"/>
      <w:szCs w:val="16"/>
    </w:rPr>
  </w:style>
  <w:style w:type="paragraph" w:customStyle="1" w:styleId="rkovnatokazaodstavkomA2">
    <w:name w:val="Črkovna točka za odstavkom A."/>
    <w:basedOn w:val="Navaden"/>
    <w:rsid w:val="005C5321"/>
    <w:pPr>
      <w:numPr>
        <w:numId w:val="4"/>
      </w:numPr>
    </w:pPr>
  </w:style>
  <w:style w:type="character" w:customStyle="1" w:styleId="rkovnatokazaodstavkomaZnak">
    <w:name w:val="Črkovna točka za odstavkom (a) Znak"/>
    <w:link w:val="rkovnatokazaodstavkoma"/>
    <w:rsid w:val="00FA3311"/>
    <w:rPr>
      <w:rFonts w:ascii="Arial" w:eastAsia="Times New Roman" w:hAnsi="Arial"/>
      <w:sz w:val="22"/>
      <w:szCs w:val="16"/>
    </w:rPr>
  </w:style>
  <w:style w:type="character" w:styleId="Hiperpovezava">
    <w:name w:val="Hyperlink"/>
    <w:uiPriority w:val="99"/>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9"/>
      </w:numPr>
      <w:jc w:val="both"/>
    </w:pPr>
    <w:rPr>
      <w:rFonts w:ascii="Arial" w:eastAsia="Times New Roman" w:hAnsi="Arial" w:cs="Arial"/>
      <w:sz w:val="22"/>
      <w:szCs w:val="22"/>
    </w:rPr>
  </w:style>
  <w:style w:type="paragraph" w:customStyle="1" w:styleId="rkovnatokazatevilnotokoa">
    <w:name w:val="Črkovna točka za številčno točko a."/>
    <w:rsid w:val="005C5321"/>
    <w:pPr>
      <w:numPr>
        <w:numId w:val="7"/>
      </w:numPr>
      <w:tabs>
        <w:tab w:val="left" w:pos="782"/>
      </w:tabs>
      <w:ind w:left="782" w:hanging="357"/>
      <w:jc w:val="both"/>
    </w:pPr>
    <w:rPr>
      <w:rFonts w:ascii="Arial" w:eastAsia="Times New Roman" w:hAnsi="Arial"/>
      <w:sz w:val="22"/>
      <w:szCs w:val="16"/>
    </w:rPr>
  </w:style>
  <w:style w:type="paragraph" w:customStyle="1" w:styleId="Rimskatevilnatoka">
    <w:name w:val="Rimska številčna točka"/>
    <w:basedOn w:val="Navaden"/>
    <w:rsid w:val="00D97FA1"/>
    <w:pPr>
      <w:numPr>
        <w:numId w:val="8"/>
      </w:numPr>
    </w:pPr>
  </w:style>
  <w:style w:type="paragraph" w:customStyle="1" w:styleId="rkovnatokazaodstavkomi">
    <w:name w:val="Črkovna točka za odstavkom (i)"/>
    <w:basedOn w:val="Alineazaodstavkom"/>
    <w:link w:val="rkovnatokazaodstavkomiZnak"/>
    <w:rsid w:val="00FA3311"/>
    <w:pPr>
      <w:numPr>
        <w:numId w:val="12"/>
      </w:numPr>
    </w:pPr>
  </w:style>
  <w:style w:type="paragraph" w:customStyle="1" w:styleId="tevilnatoka11Nova">
    <w:name w:val="Številčna točka 1.1 Nova"/>
    <w:basedOn w:val="tevilnatoka"/>
    <w:link w:val="tevilnatoka11NovaZnak"/>
    <w:qFormat/>
    <w:rsid w:val="00D97FA1"/>
    <w:pPr>
      <w:numPr>
        <w:ilvl w:val="1"/>
      </w:numPr>
    </w:pPr>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basedOn w:val="tevilnatokaZnak"/>
    <w:link w:val="tevilnatoka11Nova"/>
    <w:rsid w:val="00D97FA1"/>
    <w:rPr>
      <w:rFonts w:ascii="Arial" w:eastAsia="Times New Roman" w:hAnsi="Arial" w:cs="Arial"/>
      <w:sz w:val="22"/>
      <w:szCs w:val="22"/>
    </w:rPr>
  </w:style>
  <w:style w:type="paragraph" w:customStyle="1" w:styleId="rkovnatokazatevilnotokoi">
    <w:name w:val="Črkovna točka za številčno točko (i)"/>
    <w:rsid w:val="00FA3311"/>
    <w:pPr>
      <w:numPr>
        <w:numId w:val="11"/>
      </w:numPr>
    </w:pPr>
    <w:rPr>
      <w:rFonts w:ascii="Arial" w:eastAsia="Times New Roman" w:hAnsi="Arial" w:cs="Arial"/>
      <w:sz w:val="22"/>
      <w:szCs w:val="22"/>
    </w:rPr>
  </w:style>
  <w:style w:type="character" w:customStyle="1" w:styleId="rkovnatokazaodstavkomiZnak">
    <w:name w:val="Črkovna točka za odstavkom (i) Znak"/>
    <w:basedOn w:val="AlineazaodstavkomZnak"/>
    <w:link w:val="rkovnatokazaodstavkomi"/>
    <w:rsid w:val="00FA3311"/>
    <w:rPr>
      <w:rFonts w:ascii="Arial" w:eastAsia="Times New Roman" w:hAnsi="Arial" w:cs="Arial"/>
      <w:sz w:val="22"/>
      <w:szCs w:val="22"/>
      <w:lang w:val="x-none" w:eastAsia="x-none"/>
    </w:rPr>
  </w:style>
  <w:style w:type="paragraph" w:customStyle="1" w:styleId="rkovnatokazaodstavkomA0">
    <w:name w:val="Črkovna točka za odstavkom (A)"/>
    <w:link w:val="rkovnatokazaodstavkomAZnak0"/>
    <w:qFormat/>
    <w:rsid w:val="00E309B3"/>
    <w:pPr>
      <w:numPr>
        <w:numId w:val="14"/>
      </w:numPr>
      <w:jc w:val="both"/>
    </w:pPr>
    <w:rPr>
      <w:rFonts w:ascii="Arial" w:eastAsia="Times New Roman" w:hAnsi="Arial"/>
      <w:sz w:val="22"/>
      <w:szCs w:val="16"/>
    </w:rPr>
  </w:style>
  <w:style w:type="paragraph" w:customStyle="1" w:styleId="rkovnatokazaodstavkomA3">
    <w:name w:val="Črkovna točka za odstavkom A)"/>
    <w:link w:val="rkovnatokazaodstavkomAZnak1"/>
    <w:qFormat/>
    <w:rsid w:val="00E309B3"/>
    <w:pPr>
      <w:numPr>
        <w:numId w:val="15"/>
      </w:numPr>
      <w:jc w:val="both"/>
    </w:pPr>
    <w:rPr>
      <w:rFonts w:ascii="Arial" w:eastAsia="Times New Roman" w:hAnsi="Arial"/>
      <w:sz w:val="22"/>
      <w:szCs w:val="16"/>
    </w:rPr>
  </w:style>
  <w:style w:type="character" w:customStyle="1" w:styleId="rkovnatokazaodstavkomAZnak0">
    <w:name w:val="Črkovna točka za odstavkom (A) Znak"/>
    <w:link w:val="rkovnatokazaodstavkomA0"/>
    <w:rsid w:val="00E309B3"/>
    <w:rPr>
      <w:rFonts w:ascii="Arial" w:eastAsia="Times New Roman" w:hAnsi="Arial"/>
      <w:sz w:val="22"/>
      <w:szCs w:val="16"/>
    </w:rPr>
  </w:style>
  <w:style w:type="paragraph" w:customStyle="1" w:styleId="rkovnatokazatevilnotokoA1">
    <w:name w:val="Črkovna točka za številčno točko (A)"/>
    <w:link w:val="rkovnatokazatevilnotokoAZnak"/>
    <w:qFormat/>
    <w:rsid w:val="00797B47"/>
    <w:pPr>
      <w:numPr>
        <w:numId w:val="16"/>
      </w:numPr>
      <w:jc w:val="both"/>
    </w:pPr>
    <w:rPr>
      <w:rFonts w:ascii="Arial" w:eastAsia="Times New Roman" w:hAnsi="Arial"/>
      <w:sz w:val="22"/>
      <w:szCs w:val="16"/>
    </w:rPr>
  </w:style>
  <w:style w:type="character" w:customStyle="1" w:styleId="rkovnatokazaodstavkomAZnak1">
    <w:name w:val="Črkovna točka za odstavkom A) Znak"/>
    <w:link w:val="rkovnatokazaodstavkomA3"/>
    <w:rsid w:val="00E309B3"/>
    <w:rPr>
      <w:rFonts w:ascii="Arial" w:eastAsia="Times New Roman" w:hAnsi="Arial"/>
      <w:sz w:val="22"/>
      <w:szCs w:val="16"/>
    </w:rPr>
  </w:style>
  <w:style w:type="paragraph" w:customStyle="1" w:styleId="rkovnatokazatevilnotokoA0">
    <w:name w:val="Črkovna točka za številčno točko A)"/>
    <w:link w:val="rkovnatokazatevilnotokoAZnak0"/>
    <w:qFormat/>
    <w:rsid w:val="00E309B3"/>
    <w:pPr>
      <w:numPr>
        <w:numId w:val="17"/>
      </w:numPr>
      <w:jc w:val="both"/>
    </w:pPr>
    <w:rPr>
      <w:rFonts w:ascii="Arial" w:eastAsia="Times New Roman" w:hAnsi="Arial"/>
      <w:sz w:val="22"/>
      <w:szCs w:val="16"/>
    </w:rPr>
  </w:style>
  <w:style w:type="character" w:customStyle="1" w:styleId="rkovnatokazatevilnotokoAZnak">
    <w:name w:val="Črkovna točka za številčno točko (A) Znak"/>
    <w:link w:val="rkovnatokazatevilnotokoA1"/>
    <w:rsid w:val="00797B47"/>
    <w:rPr>
      <w:rFonts w:ascii="Arial" w:eastAsia="Times New Roman" w:hAnsi="Arial"/>
      <w:sz w:val="22"/>
      <w:szCs w:val="16"/>
    </w:rPr>
  </w:style>
  <w:style w:type="paragraph" w:customStyle="1" w:styleId="Slikanasredino">
    <w:name w:val="Slika_na sredino"/>
    <w:basedOn w:val="Navaden"/>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ascii="Arial" w:eastAsia="Times New Roman" w:hAnsi="Arial"/>
      <w:sz w:val="22"/>
      <w:szCs w:val="16"/>
    </w:rPr>
  </w:style>
  <w:style w:type="character" w:customStyle="1" w:styleId="Naslov5Znak">
    <w:name w:val="Naslov 5 Znak"/>
    <w:link w:val="Naslov5"/>
    <w:rsid w:val="00BA4DF6"/>
    <w:rPr>
      <w:rFonts w:eastAsia="Times New Roman"/>
      <w:b/>
      <w:bCs/>
      <w:i/>
      <w:iCs/>
      <w:sz w:val="26"/>
      <w:szCs w:val="26"/>
      <w:lang w:val="x-none" w:eastAsia="en-US"/>
    </w:rPr>
  </w:style>
  <w:style w:type="character" w:customStyle="1" w:styleId="Naslov9Znak">
    <w:name w:val="Naslov 9 Znak"/>
    <w:link w:val="Naslov9"/>
    <w:rsid w:val="00BA4DF6"/>
    <w:rPr>
      <w:rFonts w:ascii="Cambria" w:eastAsia="Times New Roman" w:hAnsi="Cambria"/>
      <w:sz w:val="22"/>
      <w:szCs w:val="22"/>
      <w:lang w:val="x-none" w:eastAsia="en-US"/>
    </w:rPr>
  </w:style>
  <w:style w:type="character" w:customStyle="1" w:styleId="NaslovpredpisaZnakZnak">
    <w:name w:val="Naslov_predpisa Znak Znak"/>
    <w:rsid w:val="00BA4DF6"/>
    <w:rPr>
      <w:rFonts w:ascii="Arial" w:hAnsi="Arial" w:cs="Arial"/>
      <w:b/>
      <w:sz w:val="24"/>
      <w:szCs w:val="24"/>
    </w:rPr>
  </w:style>
  <w:style w:type="paragraph" w:styleId="Telobesedila2">
    <w:name w:val="Body Text 2"/>
    <w:basedOn w:val="Navaden"/>
    <w:link w:val="Telobesedila2Znak"/>
    <w:locked/>
    <w:rsid w:val="00BA4DF6"/>
    <w:pPr>
      <w:overflowPunct/>
      <w:autoSpaceDE/>
      <w:autoSpaceDN/>
      <w:adjustRightInd/>
      <w:spacing w:after="120" w:line="480" w:lineRule="auto"/>
      <w:jc w:val="left"/>
      <w:textAlignment w:val="auto"/>
    </w:pPr>
    <w:rPr>
      <w:sz w:val="20"/>
      <w:szCs w:val="24"/>
      <w:lang w:val="x-none" w:eastAsia="en-US"/>
    </w:rPr>
  </w:style>
  <w:style w:type="character" w:customStyle="1" w:styleId="Telobesedila2Znak">
    <w:name w:val="Telo besedila 2 Znak"/>
    <w:link w:val="Telobesedila2"/>
    <w:rsid w:val="00BA4DF6"/>
    <w:rPr>
      <w:rFonts w:ascii="Arial" w:eastAsia="Times New Roman" w:hAnsi="Arial"/>
      <w:szCs w:val="24"/>
      <w:lang w:val="x-none" w:eastAsia="en-US"/>
    </w:rPr>
  </w:style>
  <w:style w:type="paragraph" w:styleId="Telobesedila-zamik2">
    <w:name w:val="Body Text Indent 2"/>
    <w:basedOn w:val="Navaden"/>
    <w:link w:val="Telobesedila-zamik2Znak"/>
    <w:locked/>
    <w:rsid w:val="00BA4DF6"/>
    <w:pPr>
      <w:overflowPunct/>
      <w:autoSpaceDE/>
      <w:autoSpaceDN/>
      <w:adjustRightInd/>
      <w:spacing w:after="120" w:line="480" w:lineRule="auto"/>
      <w:ind w:left="283"/>
      <w:jc w:val="left"/>
      <w:textAlignment w:val="auto"/>
    </w:pPr>
    <w:rPr>
      <w:sz w:val="20"/>
      <w:szCs w:val="24"/>
      <w:lang w:val="x-none" w:eastAsia="en-US"/>
    </w:rPr>
  </w:style>
  <w:style w:type="character" w:customStyle="1" w:styleId="Telobesedila-zamik2Znak">
    <w:name w:val="Telo besedila - zamik 2 Znak"/>
    <w:link w:val="Telobesedila-zamik2"/>
    <w:rsid w:val="00BA4DF6"/>
    <w:rPr>
      <w:rFonts w:ascii="Arial" w:eastAsia="Times New Roman" w:hAnsi="Arial"/>
      <w:szCs w:val="24"/>
      <w:lang w:val="x-none" w:eastAsia="en-US"/>
    </w:rPr>
  </w:style>
  <w:style w:type="paragraph" w:styleId="Brezrazmikov">
    <w:name w:val="No Spacing"/>
    <w:qFormat/>
    <w:locked/>
    <w:rsid w:val="007D37F1"/>
    <w:rPr>
      <w:rFonts w:ascii="Verdana" w:hAnsi="Verdana"/>
      <w:sz w:val="22"/>
      <w:szCs w:val="22"/>
      <w:lang w:eastAsia="en-US"/>
    </w:rPr>
  </w:style>
  <w:style w:type="paragraph" w:styleId="Napis">
    <w:name w:val="caption"/>
    <w:aliases w:val="E-PVO-Tabela-Graf-Slika,TABELA,Slika,Napis Znak,Napis Znak2,Napis Znak1 Znak,E-PVO-Tabela-Graf-Slika Znak Znak,TABELA Znak Znak,Slika Znak Znak,E-PVO-Tabela-Graf-Slika Znak1,TABELA Znak1,Slika Znak1,Napis Znak Znak1 Znak,Cha,Napis Znak Znak Znak"/>
    <w:basedOn w:val="Navaden"/>
    <w:next w:val="Navaden"/>
    <w:link w:val="NapisZnak1"/>
    <w:uiPriority w:val="12"/>
    <w:unhideWhenUsed/>
    <w:qFormat/>
    <w:locked/>
    <w:rsid w:val="007D37F1"/>
    <w:pPr>
      <w:keepNext/>
      <w:tabs>
        <w:tab w:val="left" w:pos="851"/>
        <w:tab w:val="left" w:pos="1134"/>
      </w:tabs>
      <w:overflowPunct/>
      <w:autoSpaceDE/>
      <w:autoSpaceDN/>
      <w:adjustRightInd/>
      <w:spacing w:before="200"/>
      <w:ind w:left="851" w:hanging="851"/>
      <w:jc w:val="left"/>
      <w:textAlignment w:val="auto"/>
    </w:pPr>
    <w:rPr>
      <w:rFonts w:ascii="Tahoma" w:hAnsi="Tahoma" w:cs="Arial"/>
      <w:bCs/>
      <w:i/>
      <w:noProof/>
      <w:sz w:val="20"/>
      <w:szCs w:val="20"/>
      <w:lang w:eastAsia="en-US"/>
    </w:rPr>
  </w:style>
  <w:style w:type="paragraph" w:styleId="Sprotnaopomba-besedilo">
    <w:name w:val="footnote text"/>
    <w:aliases w:val="Sprotna opomba-besedilo,Char Char Char Char,Char Char Char,Sprotna opomba - besedilo Znak1,Sprotna opomba - besedilo Znak Znak2,Sprotna opomba - besedilo Znak1 Znak Znak1,Sprotna opomba - besedilo Znak1 Znak Znak Znak"/>
    <w:basedOn w:val="Navaden"/>
    <w:link w:val="Sprotnaopomba-besediloZnak"/>
    <w:uiPriority w:val="99"/>
    <w:unhideWhenUsed/>
    <w:qFormat/>
    <w:locked/>
    <w:rsid w:val="007D37F1"/>
    <w:pPr>
      <w:overflowPunct/>
      <w:autoSpaceDE/>
      <w:autoSpaceDN/>
      <w:adjustRightInd/>
      <w:textAlignment w:val="auto"/>
    </w:pPr>
    <w:rPr>
      <w:rFonts w:ascii="Verdana" w:eastAsia="Calibri" w:hAnsi="Verdana" w:cs="Arial"/>
      <w:sz w:val="20"/>
      <w:szCs w:val="20"/>
      <w:lang w:eastAsia="en-US"/>
    </w:rPr>
  </w:style>
  <w:style w:type="character" w:customStyle="1" w:styleId="Sprotnaopomba-besediloZnak">
    <w:name w:val="Sprotna opomba - besedilo Znak"/>
    <w:aliases w:val="Sprotna opomba-besedilo Znak,Char Char Char Char Znak,Char Char Char Znak,Sprotna opomba - besedilo Znak1 Znak,Sprotna opomba - besedilo Znak Znak2 Znak,Sprotna opomba - besedilo Znak1 Znak Znak1 Znak"/>
    <w:link w:val="Sprotnaopomba-besedilo"/>
    <w:uiPriority w:val="99"/>
    <w:rsid w:val="007D37F1"/>
    <w:rPr>
      <w:rFonts w:ascii="Verdana" w:hAnsi="Verdana" w:cs="Arial"/>
      <w:lang w:eastAsia="en-US"/>
    </w:rPr>
  </w:style>
  <w:style w:type="character" w:styleId="Sprotnaopomba-sklic">
    <w:name w:val="footnote reference"/>
    <w:aliases w:val="Footnote symbol,Fussnota,Footnote reference number,note TESI,SUPERS,EN Footnote Reference,-E Fußnotenzeichen,Times 10 Point,Exposant 3 Point,E...,nota de rodapé,Footnote Reference_LVL6,Footnote Reference_LVL61,Footnot,o,number,fr"/>
    <w:uiPriority w:val="99"/>
    <w:unhideWhenUsed/>
    <w:qFormat/>
    <w:locked/>
    <w:rsid w:val="007D37F1"/>
    <w:rPr>
      <w:vertAlign w:val="superscript"/>
    </w:rPr>
  </w:style>
  <w:style w:type="character" w:customStyle="1" w:styleId="NapisZnak1">
    <w:name w:val="Napis Znak1"/>
    <w:aliases w:val="E-PVO-Tabela-Graf-Slika Znak,TABELA Znak,Slika Znak,Napis Znak Znak,Napis Znak2 Znak,Napis Znak1 Znak Znak,E-PVO-Tabela-Graf-Slika Znak Znak Znak,TABELA Znak Znak Znak,Slika Znak Znak Znak,E-PVO-Tabela-Graf-Slika Znak1 Znak,TABELA Znak1 Znak"/>
    <w:link w:val="Napis"/>
    <w:uiPriority w:val="12"/>
    <w:rsid w:val="007D37F1"/>
    <w:rPr>
      <w:rFonts w:ascii="Tahoma" w:eastAsia="Times New Roman" w:hAnsi="Tahoma" w:cs="Arial"/>
      <w:bCs/>
      <w:i/>
      <w:noProof/>
      <w:lang w:eastAsia="en-US"/>
    </w:rPr>
  </w:style>
  <w:style w:type="character" w:customStyle="1" w:styleId="OdstavekseznamaZnak">
    <w:name w:val="Odstavek seznama Znak"/>
    <w:aliases w:val="numbered list Znak,2 Znak,OBC Bullet Znak,Normal 1 Znak,Task Body Znak,Viñetas (Inicio Parrafo) Znak,Paragrafo elenco Znak,3 Txt tabla Znak,Zerrenda-paragrafoa Znak,Fiche List Paragraph Znak,Dot pt Znak,F5 List Paragraph Znak"/>
    <w:link w:val="Odstavekseznama"/>
    <w:uiPriority w:val="34"/>
    <w:qFormat/>
    <w:locked/>
    <w:rsid w:val="007D37F1"/>
    <w:rPr>
      <w:rFonts w:ascii="Arial" w:eastAsia="Times New Roman" w:hAnsi="Arial"/>
      <w:sz w:val="22"/>
      <w:szCs w:val="16"/>
    </w:rPr>
  </w:style>
  <w:style w:type="table" w:styleId="Tabelamrea">
    <w:name w:val="Table Grid"/>
    <w:basedOn w:val="Navadnatabela"/>
    <w:uiPriority w:val="59"/>
    <w:locked/>
    <w:rsid w:val="00B34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3A2004"/>
    <w:rPr>
      <w:rFonts w:ascii="Arial" w:eastAsia="Times New Roman" w:hAnsi="Arial"/>
      <w:sz w:val="22"/>
      <w:szCs w:val="16"/>
    </w:rPr>
  </w:style>
  <w:style w:type="paragraph" w:styleId="Pripombabesedilo">
    <w:name w:val="annotation text"/>
    <w:basedOn w:val="Navaden"/>
    <w:link w:val="PripombabesediloZnak"/>
    <w:unhideWhenUsed/>
    <w:rPr>
      <w:sz w:val="20"/>
      <w:szCs w:val="20"/>
    </w:rPr>
  </w:style>
  <w:style w:type="character" w:customStyle="1" w:styleId="PripombabesediloZnak">
    <w:name w:val="Pripomba – besedilo Znak"/>
    <w:basedOn w:val="Privzetapisavaodstavka"/>
    <w:link w:val="Pripombabesedilo"/>
    <w:rPr>
      <w:rFonts w:ascii="Arial" w:eastAsia="Times New Roman" w:hAnsi="Arial"/>
    </w:rPr>
  </w:style>
  <w:style w:type="character" w:styleId="Pripombasklic">
    <w:name w:val="annotation reference"/>
    <w:basedOn w:val="Privzetapisavaodstavka"/>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AAFC543-5429-46E7-BE10-DE12FBAC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2433</Words>
  <Characters>13869</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2022-12-01T11:26:00Z</dcterms:created>
  <dcterms:modified xsi:type="dcterms:W3CDTF">2022-12-01T11:26:00Z</dcterms:modified>
</cp:coreProperties>
</file>