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097F" w14:textId="77777777" w:rsidR="0065321B" w:rsidRPr="004A47BE" w:rsidRDefault="0065321B">
      <w:pPr>
        <w:pStyle w:val="BodyText"/>
        <w:spacing w:before="4"/>
        <w:rPr>
          <w:rFonts w:ascii="Times New Roman"/>
          <w:b w:val="0"/>
          <w:sz w:val="2"/>
          <w:szCs w:val="2"/>
        </w:rPr>
      </w:pPr>
    </w:p>
    <w:p w14:paraId="5D50E45D" w14:textId="5F9F89AD" w:rsidR="004A47BE" w:rsidRDefault="004A47BE" w:rsidP="004A47BE">
      <w:pPr>
        <w:pStyle w:val="Title"/>
        <w:ind w:left="0"/>
        <w:jc w:val="left"/>
        <w:rPr>
          <w:b/>
          <w:bCs/>
          <w:sz w:val="24"/>
          <w:szCs w:val="24"/>
        </w:rPr>
      </w:pPr>
      <w:r w:rsidRPr="004A47BE">
        <w:rPr>
          <w:sz w:val="24"/>
          <w:szCs w:val="24"/>
        </w:rPr>
        <w:t xml:space="preserve">Št. </w:t>
      </w:r>
      <w:r w:rsidRPr="00CF2C1D">
        <w:rPr>
          <w:sz w:val="24"/>
          <w:szCs w:val="24"/>
        </w:rPr>
        <w:t xml:space="preserve">zadeve: </w:t>
      </w:r>
      <w:r w:rsidR="000B6295" w:rsidRPr="00CF2C1D">
        <w:rPr>
          <w:b/>
          <w:bCs/>
          <w:sz w:val="24"/>
          <w:szCs w:val="24"/>
        </w:rPr>
        <w:t>037-65/2022-1</w:t>
      </w:r>
    </w:p>
    <w:p w14:paraId="336D4A13" w14:textId="77777777" w:rsidR="00920AF2" w:rsidRDefault="00920AF2" w:rsidP="00885403">
      <w:pPr>
        <w:pStyle w:val="Title"/>
        <w:ind w:left="0"/>
        <w:jc w:val="left"/>
        <w:rPr>
          <w:color w:val="2E5395"/>
        </w:rPr>
      </w:pPr>
    </w:p>
    <w:p w14:paraId="02211C7D" w14:textId="438FB313" w:rsidR="0065321B" w:rsidRPr="00D2799C" w:rsidRDefault="002559F4">
      <w:pPr>
        <w:pStyle w:val="Title"/>
        <w:rPr>
          <w:color w:val="76923C" w:themeColor="accent3" w:themeShade="BF"/>
        </w:rPr>
      </w:pPr>
      <w:r w:rsidRPr="00D2799C">
        <w:rPr>
          <w:color w:val="76923C" w:themeColor="accent3" w:themeShade="BF"/>
        </w:rPr>
        <w:t xml:space="preserve">Povpraševanje SOS – </w:t>
      </w:r>
      <w:r w:rsidR="00D2799C" w:rsidRPr="00D2799C">
        <w:rPr>
          <w:b/>
          <w:bCs/>
          <w:color w:val="76923C" w:themeColor="accent3" w:themeShade="BF"/>
        </w:rPr>
        <w:t>Upoštevanje odstranjenega objekta pri odmeri komunalnega prispevka</w:t>
      </w:r>
    </w:p>
    <w:p w14:paraId="306B62C2" w14:textId="22B86905" w:rsidR="00C664EB" w:rsidRPr="004A47BE" w:rsidRDefault="00C664EB" w:rsidP="00C664EB">
      <w:pPr>
        <w:pStyle w:val="NormalWeb"/>
        <w:spacing w:before="0" w:beforeAutospacing="0" w:after="0" w:afterAutospacing="0" w:line="345" w:lineRule="atLeast"/>
        <w:jc w:val="both"/>
        <w:rPr>
          <w:rFonts w:ascii="Palatino Linotype" w:hAnsi="Palatino Linotype" w:cs="Helvetica"/>
          <w:color w:val="FF0000"/>
          <w:sz w:val="4"/>
          <w:szCs w:val="4"/>
        </w:rPr>
      </w:pPr>
    </w:p>
    <w:p w14:paraId="03BB8573" w14:textId="2931D9A6" w:rsidR="00D2799C" w:rsidRPr="00D2799C" w:rsidRDefault="00D2799C" w:rsidP="00D2799C">
      <w:pPr>
        <w:pStyle w:val="NormalWeb"/>
        <w:spacing w:before="0" w:beforeAutospacing="0" w:after="0" w:afterAutospacing="0" w:line="276" w:lineRule="auto"/>
        <w:jc w:val="both"/>
        <w:rPr>
          <w:rFonts w:ascii="Palatino Linotype" w:hAnsi="Palatino Linotype" w:cs="Arial"/>
          <w:color w:val="0C0C0C"/>
          <w:sz w:val="23"/>
          <w:szCs w:val="23"/>
        </w:rPr>
      </w:pPr>
      <w:r w:rsidRPr="00D2799C">
        <w:rPr>
          <w:rFonts w:ascii="Palatino Linotype" w:hAnsi="Palatino Linotype" w:cs="Arial"/>
          <w:color w:val="0C0C0C"/>
          <w:sz w:val="23"/>
          <w:szCs w:val="23"/>
        </w:rPr>
        <w:t xml:space="preserve">Naslovila nas je občina članica, ki jo zanima, kako (v kolikor) imajo Občine v svojih Odlokih o podlagah za odmero komunalnega prispevka za obstoječo komunalno opremo, predpisano oz. določeno, da upoštevajo pretekla vlaganja ali že poravnane obveznosti plačila komunalnega prispevka, bi želeli pridobiti odgovor na </w:t>
      </w:r>
      <w:r>
        <w:rPr>
          <w:rFonts w:ascii="Palatino Linotype" w:hAnsi="Palatino Linotype" w:cs="Arial"/>
          <w:color w:val="0C0C0C"/>
          <w:sz w:val="23"/>
          <w:szCs w:val="23"/>
        </w:rPr>
        <w:t>vprašanji, opredeljeni v preglednici spodaj.</w:t>
      </w:r>
    </w:p>
    <w:p w14:paraId="3A4FB533" w14:textId="1EBD2CE3" w:rsidR="00D2799C" w:rsidRPr="00D2799C" w:rsidRDefault="00D2799C" w:rsidP="00D2799C">
      <w:pPr>
        <w:pStyle w:val="NormalWeb"/>
        <w:spacing w:before="0" w:beforeAutospacing="0" w:after="0" w:afterAutospacing="0" w:line="276" w:lineRule="auto"/>
        <w:jc w:val="both"/>
        <w:rPr>
          <w:rStyle w:val="Strong"/>
          <w:rFonts w:ascii="Palatino Linotype" w:hAnsi="Palatino Linotype" w:cs="Arial"/>
          <w:b w:val="0"/>
          <w:bCs w:val="0"/>
          <w:color w:val="0C0C0C"/>
          <w:sz w:val="10"/>
          <w:szCs w:val="10"/>
        </w:rPr>
      </w:pPr>
      <w:r w:rsidRPr="00D2799C">
        <w:rPr>
          <w:rFonts w:ascii="Palatino Linotype" w:hAnsi="Palatino Linotype" w:cs="Arial"/>
          <w:color w:val="0C0C0C"/>
          <w:sz w:val="23"/>
          <w:szCs w:val="23"/>
        </w:rPr>
        <w:t> </w:t>
      </w:r>
    </w:p>
    <w:p w14:paraId="2A11D854" w14:textId="3C8665EA" w:rsidR="00D2799C" w:rsidRDefault="00D2799C" w:rsidP="00D2799C">
      <w:pPr>
        <w:pStyle w:val="NormalWeb"/>
        <w:spacing w:before="0" w:beforeAutospacing="0" w:after="0" w:afterAutospacing="0" w:line="270" w:lineRule="atLeast"/>
        <w:jc w:val="both"/>
        <w:rPr>
          <w:rStyle w:val="Strong"/>
          <w:rFonts w:ascii="Palatino Linotype" w:hAnsi="Palatino Linotype" w:cs="Arial"/>
          <w:color w:val="0C0C0C"/>
          <w:sz w:val="23"/>
          <w:szCs w:val="23"/>
        </w:rPr>
      </w:pPr>
      <w:r>
        <w:rPr>
          <w:rStyle w:val="Strong"/>
          <w:rFonts w:ascii="Palatino Linotype" w:hAnsi="Palatino Linotype" w:cs="Arial"/>
          <w:color w:val="0C0C0C"/>
          <w:sz w:val="23"/>
          <w:szCs w:val="23"/>
        </w:rPr>
        <w:t>Odgovoril</w:t>
      </w:r>
      <w:r w:rsidR="00885403">
        <w:rPr>
          <w:rStyle w:val="Strong"/>
          <w:rFonts w:ascii="Palatino Linotype" w:hAnsi="Palatino Linotype" w:cs="Arial"/>
          <w:color w:val="0C0C0C"/>
          <w:sz w:val="23"/>
          <w:szCs w:val="23"/>
        </w:rPr>
        <w:t>e so</w:t>
      </w:r>
      <w:r>
        <w:rPr>
          <w:rStyle w:val="Strong"/>
          <w:rFonts w:ascii="Palatino Linotype" w:hAnsi="Palatino Linotype" w:cs="Arial"/>
          <w:color w:val="0C0C0C"/>
          <w:sz w:val="23"/>
          <w:szCs w:val="23"/>
        </w:rPr>
        <w:t xml:space="preserve"> </w:t>
      </w:r>
      <w:r w:rsidR="00885403">
        <w:rPr>
          <w:rStyle w:val="Strong"/>
          <w:rFonts w:ascii="Palatino Linotype" w:hAnsi="Palatino Linotype" w:cs="Arial"/>
          <w:color w:val="0C0C0C"/>
          <w:sz w:val="23"/>
          <w:szCs w:val="23"/>
        </w:rPr>
        <w:t>3</w:t>
      </w:r>
      <w:r>
        <w:rPr>
          <w:rStyle w:val="Strong"/>
          <w:rFonts w:ascii="Palatino Linotype" w:hAnsi="Palatino Linotype" w:cs="Arial"/>
          <w:color w:val="0C0C0C"/>
          <w:sz w:val="23"/>
          <w:szCs w:val="23"/>
        </w:rPr>
        <w:t xml:space="preserve"> občin</w:t>
      </w:r>
      <w:r w:rsidR="00885403">
        <w:rPr>
          <w:rStyle w:val="Strong"/>
          <w:rFonts w:ascii="Palatino Linotype" w:hAnsi="Palatino Linotype" w:cs="Arial"/>
          <w:color w:val="0C0C0C"/>
          <w:sz w:val="23"/>
          <w:szCs w:val="23"/>
        </w:rPr>
        <w:t>e</w:t>
      </w:r>
      <w:r>
        <w:rPr>
          <w:rStyle w:val="Strong"/>
          <w:rFonts w:ascii="Palatino Linotype" w:hAnsi="Palatino Linotype" w:cs="Arial"/>
          <w:color w:val="0C0C0C"/>
          <w:sz w:val="23"/>
          <w:szCs w:val="23"/>
        </w:rPr>
        <w:t>.</w:t>
      </w:r>
    </w:p>
    <w:p w14:paraId="0AE22B64" w14:textId="77777777" w:rsidR="00D2799C" w:rsidRPr="004A47BE" w:rsidRDefault="00D2799C">
      <w:pPr>
        <w:spacing w:before="4"/>
        <w:rPr>
          <w:b/>
          <w:color w:val="FF0000"/>
          <w:sz w:val="9"/>
          <w:szCs w:val="16"/>
        </w:rPr>
      </w:pPr>
    </w:p>
    <w:p w14:paraId="1B48AC93" w14:textId="375DDAAD" w:rsidR="006E76A8" w:rsidRDefault="006E76A8" w:rsidP="006E76A8">
      <w:pPr>
        <w:pStyle w:val="NoSpacing"/>
        <w:rPr>
          <w:color w:val="FF0000"/>
          <w:sz w:val="12"/>
          <w:szCs w:val="12"/>
        </w:rPr>
      </w:pPr>
    </w:p>
    <w:tbl>
      <w:tblPr>
        <w:tblStyle w:val="TableGrid"/>
        <w:tblW w:w="0" w:type="auto"/>
        <w:tblLook w:val="04A0" w:firstRow="1" w:lastRow="0" w:firstColumn="1" w:lastColumn="0" w:noHBand="0" w:noVBand="1"/>
      </w:tblPr>
      <w:tblGrid>
        <w:gridCol w:w="1980"/>
        <w:gridCol w:w="6804"/>
        <w:gridCol w:w="5486"/>
      </w:tblGrid>
      <w:tr w:rsidR="00D2799C" w14:paraId="30AE74E5" w14:textId="77777777" w:rsidTr="00885403">
        <w:tc>
          <w:tcPr>
            <w:tcW w:w="1980" w:type="dxa"/>
            <w:shd w:val="clear" w:color="auto" w:fill="C2D69B" w:themeFill="accent3" w:themeFillTint="99"/>
          </w:tcPr>
          <w:p w14:paraId="2AA31541" w14:textId="2C4FE0CF" w:rsidR="00D2799C" w:rsidRPr="00D2799C" w:rsidRDefault="00D2799C" w:rsidP="006E76A8">
            <w:pPr>
              <w:pStyle w:val="NoSpacing"/>
              <w:rPr>
                <w:b/>
                <w:bCs/>
                <w:sz w:val="24"/>
                <w:szCs w:val="24"/>
              </w:rPr>
            </w:pPr>
            <w:r w:rsidRPr="00D2799C">
              <w:rPr>
                <w:b/>
                <w:bCs/>
                <w:sz w:val="24"/>
                <w:szCs w:val="24"/>
              </w:rPr>
              <w:t>OBČINA</w:t>
            </w:r>
          </w:p>
        </w:tc>
        <w:tc>
          <w:tcPr>
            <w:tcW w:w="6804" w:type="dxa"/>
            <w:shd w:val="clear" w:color="auto" w:fill="C2D69B" w:themeFill="accent3" w:themeFillTint="99"/>
          </w:tcPr>
          <w:p w14:paraId="3DACB57B" w14:textId="77777777" w:rsidR="00D2799C" w:rsidRPr="00D2799C" w:rsidRDefault="00D2799C" w:rsidP="00D2799C">
            <w:pPr>
              <w:pStyle w:val="NormalWeb"/>
              <w:spacing w:before="0" w:beforeAutospacing="0" w:after="0" w:afterAutospacing="0" w:line="276" w:lineRule="auto"/>
              <w:jc w:val="both"/>
              <w:rPr>
                <w:rFonts w:ascii="Palatino Linotype" w:hAnsi="Palatino Linotype" w:cs="Arial"/>
                <w:color w:val="0C0C0C"/>
                <w:sz w:val="23"/>
                <w:szCs w:val="23"/>
              </w:rPr>
            </w:pPr>
            <w:r w:rsidRPr="00D2799C">
              <w:rPr>
                <w:rStyle w:val="Strong"/>
                <w:rFonts w:ascii="Palatino Linotype" w:hAnsi="Palatino Linotype" w:cs="Arial"/>
                <w:color w:val="0C0C0C"/>
                <w:sz w:val="23"/>
                <w:szCs w:val="23"/>
              </w:rPr>
              <w:t xml:space="preserve">1. Na podlagi katerih dokazil Občine pri odmeri komunalnega prispevka upoštevate pretekla vlaganja ali že poravnane obveznosti plačila komunalnega prispevka, če gre za odstranitev obstoječega objekta in gradnjo novega objekta na tem zemljišču? </w:t>
            </w:r>
          </w:p>
          <w:p w14:paraId="4D73233F" w14:textId="77777777" w:rsidR="00D2799C" w:rsidRDefault="00D2799C" w:rsidP="006E76A8">
            <w:pPr>
              <w:pStyle w:val="NoSpacing"/>
              <w:rPr>
                <w:color w:val="FF0000"/>
                <w:sz w:val="12"/>
                <w:szCs w:val="12"/>
              </w:rPr>
            </w:pPr>
          </w:p>
        </w:tc>
        <w:tc>
          <w:tcPr>
            <w:tcW w:w="5486" w:type="dxa"/>
            <w:shd w:val="clear" w:color="auto" w:fill="C2D69B" w:themeFill="accent3" w:themeFillTint="99"/>
          </w:tcPr>
          <w:p w14:paraId="0FE63D6D" w14:textId="77777777" w:rsidR="00D2799C" w:rsidRDefault="00D2799C" w:rsidP="00D2799C">
            <w:pPr>
              <w:pStyle w:val="NormalWeb"/>
              <w:spacing w:before="0" w:beforeAutospacing="0" w:after="0" w:afterAutospacing="0" w:line="276" w:lineRule="auto"/>
              <w:jc w:val="both"/>
              <w:rPr>
                <w:rStyle w:val="Strong"/>
                <w:rFonts w:ascii="Palatino Linotype" w:hAnsi="Palatino Linotype" w:cs="Arial"/>
                <w:color w:val="0C0C0C"/>
                <w:sz w:val="23"/>
                <w:szCs w:val="23"/>
              </w:rPr>
            </w:pPr>
            <w:r w:rsidRPr="00D2799C">
              <w:rPr>
                <w:rStyle w:val="Strong"/>
                <w:rFonts w:ascii="Palatino Linotype" w:hAnsi="Palatino Linotype" w:cs="Arial"/>
                <w:color w:val="0C0C0C"/>
                <w:sz w:val="23"/>
                <w:szCs w:val="23"/>
              </w:rPr>
              <w:t>2. Na kakšen način upoštevate npr. odstranitev vojaških objektov, za katere vlagatelj ne predloži gradbenega dovoljenja, zgolj projektno dokumentacijo?</w:t>
            </w:r>
          </w:p>
          <w:p w14:paraId="551C1069" w14:textId="77777777" w:rsidR="00D2799C" w:rsidRDefault="00D2799C" w:rsidP="006E76A8">
            <w:pPr>
              <w:pStyle w:val="NoSpacing"/>
              <w:rPr>
                <w:color w:val="FF0000"/>
                <w:sz w:val="12"/>
                <w:szCs w:val="12"/>
              </w:rPr>
            </w:pPr>
          </w:p>
        </w:tc>
      </w:tr>
      <w:tr w:rsidR="00D2799C" w14:paraId="0E455FDE" w14:textId="77777777" w:rsidTr="00885403">
        <w:tc>
          <w:tcPr>
            <w:tcW w:w="1980" w:type="dxa"/>
            <w:shd w:val="clear" w:color="auto" w:fill="D6E3BC" w:themeFill="accent3" w:themeFillTint="66"/>
          </w:tcPr>
          <w:p w14:paraId="2FC74C7C" w14:textId="69097F46" w:rsidR="00D2799C" w:rsidRPr="00D2799C" w:rsidRDefault="00D2799C" w:rsidP="006E76A8">
            <w:pPr>
              <w:pStyle w:val="NoSpacing"/>
              <w:rPr>
                <w:b/>
                <w:bCs/>
                <w:sz w:val="24"/>
                <w:szCs w:val="24"/>
              </w:rPr>
            </w:pPr>
            <w:r w:rsidRPr="00D2799C">
              <w:rPr>
                <w:b/>
                <w:bCs/>
                <w:sz w:val="24"/>
                <w:szCs w:val="24"/>
              </w:rPr>
              <w:t>Grosuplje</w:t>
            </w:r>
          </w:p>
        </w:tc>
        <w:tc>
          <w:tcPr>
            <w:tcW w:w="6804" w:type="dxa"/>
          </w:tcPr>
          <w:p w14:paraId="2E61B1D2" w14:textId="77777777" w:rsidR="00D2799C" w:rsidRPr="00885403" w:rsidRDefault="00D2799C" w:rsidP="00885403">
            <w:pPr>
              <w:shd w:val="clear" w:color="auto" w:fill="FFFFFF"/>
              <w:spacing w:line="276" w:lineRule="auto"/>
              <w:rPr>
                <w:rFonts w:cstheme="minorHAnsi"/>
                <w:color w:val="000000"/>
                <w:sz w:val="24"/>
                <w:szCs w:val="24"/>
              </w:rPr>
            </w:pPr>
            <w:r w:rsidRPr="00885403">
              <w:rPr>
                <w:rFonts w:cstheme="minorHAnsi"/>
                <w:color w:val="000000"/>
                <w:sz w:val="24"/>
                <w:szCs w:val="24"/>
              </w:rPr>
              <w:t xml:space="preserve">Občina Grosuplje trenutno obračunava komunalni prispevek v skladu z </w:t>
            </w:r>
            <w:hyperlink r:id="rId8" w:history="1">
              <w:r w:rsidRPr="00885403">
                <w:rPr>
                  <w:rStyle w:val="Hyperlink"/>
                  <w:rFonts w:cstheme="minorHAnsi"/>
                  <w:sz w:val="24"/>
                  <w:szCs w:val="24"/>
                </w:rPr>
                <w:t>Odlokom o podlagah za odmero komunalnega prispevka za obstoječo komunalno opremo za območje Občine Grosuplje</w:t>
              </w:r>
            </w:hyperlink>
            <w:r w:rsidRPr="00885403">
              <w:rPr>
                <w:rFonts w:cstheme="minorHAnsi"/>
                <w:color w:val="000000"/>
                <w:sz w:val="24"/>
                <w:szCs w:val="24"/>
              </w:rPr>
              <w:t xml:space="preserve">. </w:t>
            </w:r>
          </w:p>
          <w:p w14:paraId="74EF91DD" w14:textId="77777777" w:rsidR="00D2799C" w:rsidRPr="00885403" w:rsidRDefault="00D2799C" w:rsidP="00885403">
            <w:pPr>
              <w:shd w:val="clear" w:color="auto" w:fill="FFFFFF"/>
              <w:spacing w:line="276" w:lineRule="auto"/>
              <w:rPr>
                <w:rFonts w:cstheme="minorHAnsi"/>
                <w:color w:val="000000"/>
                <w:sz w:val="24"/>
                <w:szCs w:val="24"/>
              </w:rPr>
            </w:pPr>
            <w:r w:rsidRPr="00885403">
              <w:rPr>
                <w:rFonts w:cstheme="minorHAnsi"/>
                <w:color w:val="000000"/>
                <w:sz w:val="24"/>
                <w:szCs w:val="24"/>
              </w:rPr>
              <w:t xml:space="preserve">V 16. členu je določen način obračuna komunalnega prispevka v primeru gradnje novega objekta na mestu prej odstranjenega objekta,  v 21. členu pa so navedene oprostitve in olajšave plačila komunalnega prispevka, pri čemer pa </w:t>
            </w:r>
            <w:r w:rsidRPr="00885403">
              <w:rPr>
                <w:rFonts w:cstheme="minorHAnsi"/>
                <w:color w:val="000000"/>
                <w:sz w:val="24"/>
                <w:szCs w:val="24"/>
              </w:rPr>
              <w:lastRenderedPageBreak/>
              <w:t>vojaški objekti niso izrecno obravnavani.  </w:t>
            </w:r>
          </w:p>
          <w:p w14:paraId="0BCDFBFB" w14:textId="77777777" w:rsidR="00D2799C" w:rsidRPr="00885403" w:rsidRDefault="00D2799C" w:rsidP="00885403">
            <w:pPr>
              <w:pStyle w:val="NoSpacing"/>
              <w:spacing w:line="276" w:lineRule="auto"/>
              <w:rPr>
                <w:rFonts w:cstheme="minorHAnsi"/>
                <w:color w:val="FF0000"/>
                <w:sz w:val="24"/>
                <w:szCs w:val="24"/>
              </w:rPr>
            </w:pPr>
          </w:p>
        </w:tc>
        <w:tc>
          <w:tcPr>
            <w:tcW w:w="5486" w:type="dxa"/>
          </w:tcPr>
          <w:p w14:paraId="2E63A437" w14:textId="77777777" w:rsidR="00D2799C" w:rsidRPr="00885403" w:rsidRDefault="00D2799C" w:rsidP="00885403">
            <w:pPr>
              <w:shd w:val="clear" w:color="auto" w:fill="FFFFFF"/>
              <w:spacing w:line="276" w:lineRule="auto"/>
              <w:rPr>
                <w:rFonts w:cstheme="minorHAnsi"/>
                <w:color w:val="000000"/>
                <w:sz w:val="24"/>
                <w:szCs w:val="24"/>
              </w:rPr>
            </w:pPr>
            <w:r w:rsidRPr="00885403">
              <w:rPr>
                <w:rFonts w:cstheme="minorHAnsi"/>
                <w:color w:val="000000"/>
                <w:sz w:val="24"/>
                <w:szCs w:val="24"/>
              </w:rPr>
              <w:lastRenderedPageBreak/>
              <w:t xml:space="preserve">Pri odmerjanju komunalnega prispevka za že obstoječe objekte preverjamo obstoječe gradbeno dovoljenje / uporabno dovoljenje in pri predvidenih rušitvah tudi projekt za rušitev. V kolikor je bil objekt zgrajen pred letom 1967 smatramo, da je objekt legalno zgrajen, kar posledično pomeni, da je plačan tudi komunalni prispevek. Kot dokazilo za obstoj objekta pred </w:t>
            </w:r>
            <w:r w:rsidRPr="00885403">
              <w:rPr>
                <w:rFonts w:cstheme="minorHAnsi"/>
                <w:color w:val="000000"/>
                <w:sz w:val="24"/>
                <w:szCs w:val="24"/>
              </w:rPr>
              <w:lastRenderedPageBreak/>
              <w:t xml:space="preserve">letom 1967 zahtevamo potrdilo Geodetskega inštituta. </w:t>
            </w:r>
          </w:p>
          <w:p w14:paraId="784871DF" w14:textId="77777777" w:rsidR="00D2799C" w:rsidRPr="00885403" w:rsidRDefault="00D2799C" w:rsidP="00885403">
            <w:pPr>
              <w:pStyle w:val="NoSpacing"/>
              <w:spacing w:line="276" w:lineRule="auto"/>
              <w:rPr>
                <w:rFonts w:cstheme="minorHAnsi"/>
                <w:color w:val="FF0000"/>
                <w:sz w:val="24"/>
                <w:szCs w:val="24"/>
              </w:rPr>
            </w:pPr>
          </w:p>
        </w:tc>
      </w:tr>
      <w:tr w:rsidR="00D2799C" w14:paraId="0FC97FCA" w14:textId="77777777" w:rsidTr="00885403">
        <w:tc>
          <w:tcPr>
            <w:tcW w:w="1980" w:type="dxa"/>
            <w:shd w:val="clear" w:color="auto" w:fill="D6E3BC" w:themeFill="accent3" w:themeFillTint="66"/>
          </w:tcPr>
          <w:p w14:paraId="4D7EBE5A" w14:textId="77777777" w:rsidR="00D2799C" w:rsidRDefault="00D2799C" w:rsidP="006E76A8">
            <w:pPr>
              <w:pStyle w:val="NoSpacing"/>
              <w:rPr>
                <w:b/>
                <w:bCs/>
                <w:sz w:val="24"/>
                <w:szCs w:val="24"/>
              </w:rPr>
            </w:pPr>
            <w:r>
              <w:rPr>
                <w:b/>
                <w:bCs/>
                <w:sz w:val="24"/>
                <w:szCs w:val="24"/>
              </w:rPr>
              <w:lastRenderedPageBreak/>
              <w:t>Polzela</w:t>
            </w:r>
          </w:p>
          <w:p w14:paraId="07916988" w14:textId="66545CF3" w:rsidR="00D2799C" w:rsidRPr="00D2799C" w:rsidRDefault="00D2799C" w:rsidP="006E76A8">
            <w:pPr>
              <w:pStyle w:val="NoSpacing"/>
              <w:rPr>
                <w:b/>
                <w:bCs/>
                <w:sz w:val="24"/>
                <w:szCs w:val="24"/>
              </w:rPr>
            </w:pPr>
          </w:p>
        </w:tc>
        <w:tc>
          <w:tcPr>
            <w:tcW w:w="6804" w:type="dxa"/>
          </w:tcPr>
          <w:p w14:paraId="655BFBA2" w14:textId="77777777" w:rsidR="00885403" w:rsidRPr="00885403" w:rsidRDefault="00885403" w:rsidP="00885403">
            <w:pPr>
              <w:spacing w:line="276" w:lineRule="auto"/>
              <w:rPr>
                <w:rFonts w:cstheme="minorHAnsi"/>
                <w:sz w:val="24"/>
                <w:szCs w:val="24"/>
              </w:rPr>
            </w:pPr>
            <w:r w:rsidRPr="00885403">
              <w:rPr>
                <w:rFonts w:cstheme="minorHAnsi"/>
                <w:sz w:val="24"/>
                <w:szCs w:val="24"/>
              </w:rPr>
              <w:t>Na podlagi projektne dokumentacije za odstranitev objekta in gradnje novega objekta na isti parceli.</w:t>
            </w:r>
          </w:p>
          <w:p w14:paraId="14D15696" w14:textId="77777777" w:rsidR="00885403" w:rsidRPr="00885403" w:rsidRDefault="00885403" w:rsidP="00885403">
            <w:pPr>
              <w:spacing w:line="276" w:lineRule="auto"/>
              <w:rPr>
                <w:rFonts w:cstheme="minorHAnsi"/>
                <w:sz w:val="24"/>
                <w:szCs w:val="24"/>
              </w:rPr>
            </w:pPr>
            <w:r w:rsidRPr="00885403">
              <w:rPr>
                <w:rFonts w:cstheme="minorHAnsi"/>
                <w:sz w:val="24"/>
                <w:szCs w:val="24"/>
              </w:rPr>
              <w:t>Priložena mora biti torej tudi dokumentacija za odstranitev oz. rušitev objekta.</w:t>
            </w:r>
          </w:p>
          <w:p w14:paraId="708A3C5A" w14:textId="77777777" w:rsidR="00D2799C" w:rsidRPr="00885403" w:rsidRDefault="00D2799C" w:rsidP="00885403">
            <w:pPr>
              <w:shd w:val="clear" w:color="auto" w:fill="FFFFFF"/>
              <w:spacing w:line="276" w:lineRule="auto"/>
              <w:rPr>
                <w:rFonts w:cstheme="minorHAnsi"/>
                <w:color w:val="000000"/>
                <w:sz w:val="24"/>
                <w:szCs w:val="24"/>
              </w:rPr>
            </w:pPr>
          </w:p>
        </w:tc>
        <w:tc>
          <w:tcPr>
            <w:tcW w:w="5486" w:type="dxa"/>
          </w:tcPr>
          <w:p w14:paraId="79B6C355" w14:textId="0C40C222" w:rsidR="00885403" w:rsidRPr="00885403" w:rsidRDefault="00885403" w:rsidP="00885403">
            <w:pPr>
              <w:spacing w:line="276" w:lineRule="auto"/>
              <w:rPr>
                <w:rFonts w:cstheme="minorHAnsi"/>
                <w:sz w:val="24"/>
                <w:szCs w:val="24"/>
              </w:rPr>
            </w:pPr>
            <w:r w:rsidRPr="00885403">
              <w:rPr>
                <w:rFonts w:cstheme="minorHAnsi"/>
                <w:sz w:val="24"/>
                <w:szCs w:val="24"/>
              </w:rPr>
              <w:t>Iz projektne dokumentacije mora biti tudi razvidno, na katero komunalno infrastrukturo je bil priključen obstoječi objekt,</w:t>
            </w:r>
            <w:r>
              <w:rPr>
                <w:rFonts w:cstheme="minorHAnsi"/>
                <w:sz w:val="24"/>
                <w:szCs w:val="24"/>
              </w:rPr>
              <w:t xml:space="preserve"> </w:t>
            </w:r>
            <w:r w:rsidRPr="00885403">
              <w:rPr>
                <w:rFonts w:cstheme="minorHAnsi"/>
                <w:sz w:val="24"/>
                <w:szCs w:val="24"/>
              </w:rPr>
              <w:t>ki je namenjen za rušitev. Sledeče preverimo tudi z JKP-javno komunalno podjetje.</w:t>
            </w:r>
          </w:p>
          <w:p w14:paraId="73708E9C" w14:textId="3EFD5D07" w:rsidR="00885403" w:rsidRPr="00885403" w:rsidRDefault="00885403" w:rsidP="00885403">
            <w:pPr>
              <w:spacing w:line="276" w:lineRule="auto"/>
              <w:rPr>
                <w:rFonts w:cstheme="minorHAnsi"/>
                <w:sz w:val="24"/>
                <w:szCs w:val="24"/>
              </w:rPr>
            </w:pPr>
            <w:r w:rsidRPr="00885403">
              <w:rPr>
                <w:rFonts w:cstheme="minorHAnsi"/>
                <w:sz w:val="24"/>
                <w:szCs w:val="24"/>
              </w:rPr>
              <w:t xml:space="preserve">In </w:t>
            </w:r>
            <w:proofErr w:type="spellStart"/>
            <w:r w:rsidRPr="00885403">
              <w:rPr>
                <w:rFonts w:cstheme="minorHAnsi"/>
                <w:sz w:val="24"/>
                <w:szCs w:val="24"/>
              </w:rPr>
              <w:t>vpogleda</w:t>
            </w:r>
            <w:r>
              <w:rPr>
                <w:rFonts w:cstheme="minorHAnsi"/>
                <w:sz w:val="24"/>
                <w:szCs w:val="24"/>
              </w:rPr>
              <w:t>mo</w:t>
            </w:r>
            <w:proofErr w:type="spellEnd"/>
            <w:r w:rsidRPr="00885403">
              <w:rPr>
                <w:rFonts w:cstheme="minorHAnsi"/>
                <w:sz w:val="24"/>
                <w:szCs w:val="24"/>
              </w:rPr>
              <w:t xml:space="preserve"> v kataster nepremičnin geodetske uprave - GURS.</w:t>
            </w:r>
          </w:p>
          <w:p w14:paraId="023A4082" w14:textId="77777777" w:rsidR="00D2799C" w:rsidRPr="00885403" w:rsidRDefault="00D2799C" w:rsidP="00885403">
            <w:pPr>
              <w:shd w:val="clear" w:color="auto" w:fill="FFFFFF"/>
              <w:spacing w:line="276" w:lineRule="auto"/>
              <w:rPr>
                <w:rFonts w:cstheme="minorHAnsi"/>
                <w:color w:val="000000"/>
                <w:sz w:val="24"/>
                <w:szCs w:val="24"/>
              </w:rPr>
            </w:pPr>
          </w:p>
        </w:tc>
      </w:tr>
      <w:tr w:rsidR="00D2799C" w14:paraId="2130CA16" w14:textId="77777777" w:rsidTr="00885403">
        <w:tc>
          <w:tcPr>
            <w:tcW w:w="1980" w:type="dxa"/>
            <w:vMerge w:val="restart"/>
            <w:shd w:val="clear" w:color="auto" w:fill="D6E3BC" w:themeFill="accent3" w:themeFillTint="66"/>
          </w:tcPr>
          <w:p w14:paraId="167B71D6" w14:textId="40DC2C48" w:rsidR="00D2799C" w:rsidRPr="00D2799C" w:rsidRDefault="00D2799C" w:rsidP="006E76A8">
            <w:pPr>
              <w:pStyle w:val="NoSpacing"/>
              <w:rPr>
                <w:b/>
                <w:bCs/>
                <w:color w:val="FF0000"/>
                <w:sz w:val="24"/>
                <w:szCs w:val="24"/>
              </w:rPr>
            </w:pPr>
            <w:r w:rsidRPr="00D2799C">
              <w:rPr>
                <w:b/>
                <w:bCs/>
                <w:sz w:val="24"/>
                <w:szCs w:val="24"/>
              </w:rPr>
              <w:t>Postojna</w:t>
            </w:r>
          </w:p>
        </w:tc>
        <w:tc>
          <w:tcPr>
            <w:tcW w:w="12290" w:type="dxa"/>
            <w:gridSpan w:val="2"/>
          </w:tcPr>
          <w:p w14:paraId="753EC12C" w14:textId="77777777" w:rsidR="00D2799C" w:rsidRPr="00885403" w:rsidRDefault="00D2799C" w:rsidP="00885403">
            <w:pPr>
              <w:pStyle w:val="NormalWeb"/>
              <w:spacing w:before="0" w:beforeAutospacing="0" w:after="0" w:afterAutospacing="0" w:line="276" w:lineRule="auto"/>
              <w:rPr>
                <w:rStyle w:val="Strong"/>
                <w:rFonts w:ascii="Palatino Linotype" w:hAnsi="Palatino Linotype" w:cstheme="minorHAnsi"/>
                <w:u w:val="single"/>
              </w:rPr>
            </w:pPr>
            <w:r w:rsidRPr="00885403">
              <w:rPr>
                <w:rStyle w:val="Strong"/>
                <w:rFonts w:ascii="Palatino Linotype" w:hAnsi="Palatino Linotype" w:cstheme="minorHAnsi"/>
                <w:u w:val="single"/>
              </w:rPr>
              <w:t xml:space="preserve">Pravna podlaga: </w:t>
            </w:r>
          </w:p>
          <w:p w14:paraId="0385B69D" w14:textId="77777777" w:rsidR="00D2799C" w:rsidRPr="00885403" w:rsidRDefault="00D2799C" w:rsidP="00885403">
            <w:pPr>
              <w:pStyle w:val="NormalWeb"/>
              <w:spacing w:before="0" w:beforeAutospacing="0" w:after="0" w:afterAutospacing="0" w:line="276" w:lineRule="auto"/>
              <w:rPr>
                <w:rStyle w:val="Strong"/>
                <w:rFonts w:ascii="Palatino Linotype" w:hAnsi="Palatino Linotype" w:cstheme="minorHAnsi"/>
              </w:rPr>
            </w:pPr>
          </w:p>
          <w:p w14:paraId="3BBB61CD" w14:textId="77777777" w:rsidR="00D2799C" w:rsidRPr="00885403" w:rsidRDefault="00D2799C" w:rsidP="00885403">
            <w:pPr>
              <w:shd w:val="clear" w:color="auto" w:fill="FFFFFF"/>
              <w:spacing w:line="276" w:lineRule="auto"/>
              <w:outlineLvl w:val="1"/>
              <w:rPr>
                <w:rFonts w:cstheme="minorHAnsi"/>
                <w:b/>
                <w:bCs/>
                <w:spacing w:val="-15"/>
                <w:sz w:val="24"/>
                <w:szCs w:val="24"/>
              </w:rPr>
            </w:pPr>
            <w:r w:rsidRPr="00885403">
              <w:rPr>
                <w:rFonts w:cstheme="minorHAnsi"/>
                <w:b/>
                <w:bCs/>
                <w:spacing w:val="-15"/>
                <w:sz w:val="24"/>
                <w:szCs w:val="24"/>
              </w:rPr>
              <w:t>Odlok o spremembah in dopolnitvah Odloka o podlagah za odmero komunalnega prispevka za obstoječo komunalno opremo v Občini Postojna</w:t>
            </w:r>
          </w:p>
          <w:p w14:paraId="1EA3DB3A" w14:textId="77777777" w:rsidR="00D2799C" w:rsidRPr="00885403" w:rsidRDefault="00D2799C" w:rsidP="00885403">
            <w:pPr>
              <w:shd w:val="clear" w:color="auto" w:fill="FFFFFF"/>
              <w:spacing w:line="276" w:lineRule="auto"/>
              <w:outlineLvl w:val="1"/>
              <w:rPr>
                <w:rFonts w:cstheme="minorHAnsi"/>
                <w:b/>
                <w:bCs/>
                <w:spacing w:val="-15"/>
                <w:sz w:val="24"/>
                <w:szCs w:val="24"/>
              </w:rPr>
            </w:pPr>
          </w:p>
          <w:p w14:paraId="0F1E0D2D" w14:textId="77777777" w:rsidR="00D2799C" w:rsidRPr="00885403" w:rsidRDefault="00D2799C" w:rsidP="00885403">
            <w:pPr>
              <w:shd w:val="clear" w:color="auto" w:fill="FFFFFF"/>
              <w:spacing w:line="276" w:lineRule="auto"/>
              <w:outlineLvl w:val="1"/>
              <w:rPr>
                <w:rFonts w:cstheme="minorHAnsi"/>
                <w:b/>
                <w:bCs/>
                <w:spacing w:val="-15"/>
                <w:sz w:val="24"/>
                <w:szCs w:val="24"/>
                <w:u w:val="single"/>
              </w:rPr>
            </w:pPr>
            <w:r w:rsidRPr="00885403">
              <w:rPr>
                <w:rFonts w:cstheme="minorHAnsi"/>
                <w:b/>
                <w:bCs/>
                <w:spacing w:val="-15"/>
                <w:sz w:val="24"/>
                <w:szCs w:val="24"/>
                <w:u w:val="single"/>
              </w:rPr>
              <w:t>8. a člen</w:t>
            </w:r>
          </w:p>
          <w:p w14:paraId="0EEC274E" w14:textId="77777777" w:rsidR="00D2799C" w:rsidRPr="00885403" w:rsidRDefault="00D2799C" w:rsidP="00885403">
            <w:pPr>
              <w:pStyle w:val="NormalWeb"/>
              <w:spacing w:before="0" w:beforeAutospacing="0" w:after="0" w:afterAutospacing="0" w:line="276" w:lineRule="auto"/>
              <w:jc w:val="both"/>
              <w:rPr>
                <w:rFonts w:ascii="Palatino Linotype" w:hAnsi="Palatino Linotype" w:cstheme="minorHAnsi"/>
                <w:b/>
                <w:color w:val="000000"/>
                <w:shd w:val="clear" w:color="auto" w:fill="FFFFFF"/>
              </w:rPr>
            </w:pPr>
            <w:r w:rsidRPr="00885403">
              <w:rPr>
                <w:rFonts w:ascii="Palatino Linotype" w:hAnsi="Palatino Linotype" w:cstheme="minorHAnsi"/>
                <w:color w:val="000000"/>
                <w:shd w:val="clear" w:color="auto" w:fill="FFFFFF"/>
              </w:rPr>
              <w:t xml:space="preserve">Zavezanec za plačilo komunalnega prispevka lahko pri odmeri komunalnega prispevka uveljavlja pretekla vlaganja v komunalno opremo za objekte, ki se odstranijo in se nahajajo znotraj stavbnega zemljišča, na katerem se gradi objekt, za katerega se odmerja komunalni prispevek. Zavezanec lahko pretekla vlaganja uveljavlja za objekt, če od odstranitve objekta do dne podaje vloge za odmero komunalnega prispevka ni preteklo več kot 10 let, kar se izkazuje s </w:t>
            </w:r>
            <w:r w:rsidRPr="00885403">
              <w:rPr>
                <w:rFonts w:ascii="Palatino Linotype" w:hAnsi="Palatino Linotype" w:cstheme="minorHAnsi"/>
                <w:b/>
                <w:color w:val="000000"/>
                <w:shd w:val="clear" w:color="auto" w:fill="FFFFFF"/>
              </w:rPr>
              <w:t>pravnomočnim gradbenim dovoljenjem za rušitev objekta</w:t>
            </w:r>
            <w:r w:rsidRPr="00885403">
              <w:rPr>
                <w:rFonts w:ascii="Palatino Linotype" w:hAnsi="Palatino Linotype" w:cstheme="minorHAnsi"/>
                <w:color w:val="000000"/>
                <w:shd w:val="clear" w:color="auto" w:fill="FFFFFF"/>
              </w:rPr>
              <w:t xml:space="preserve"> ali z </w:t>
            </w:r>
            <w:r w:rsidRPr="00885403">
              <w:rPr>
                <w:rFonts w:ascii="Palatino Linotype" w:hAnsi="Palatino Linotype" w:cstheme="minorHAnsi"/>
                <w:b/>
                <w:color w:val="000000"/>
                <w:shd w:val="clear" w:color="auto" w:fill="FFFFFF"/>
              </w:rPr>
              <w:t xml:space="preserve">dokazilom o prijavi rušitve objekta pri pristojnem organu. </w:t>
            </w:r>
          </w:p>
          <w:p w14:paraId="14AC9868" w14:textId="77777777" w:rsidR="00D2799C" w:rsidRPr="00885403" w:rsidRDefault="00D2799C" w:rsidP="00885403">
            <w:pPr>
              <w:pStyle w:val="NormalWeb"/>
              <w:spacing w:before="0" w:beforeAutospacing="0" w:after="0" w:afterAutospacing="0" w:line="276" w:lineRule="auto"/>
              <w:jc w:val="both"/>
              <w:rPr>
                <w:rFonts w:ascii="Palatino Linotype" w:hAnsi="Palatino Linotype" w:cstheme="minorHAnsi"/>
                <w:color w:val="000000"/>
                <w:shd w:val="clear" w:color="auto" w:fill="FFFFFF"/>
              </w:rPr>
            </w:pPr>
            <w:r w:rsidRPr="00885403">
              <w:rPr>
                <w:rFonts w:ascii="Palatino Linotype" w:hAnsi="Palatino Linotype" w:cstheme="minorHAnsi"/>
                <w:color w:val="000000"/>
                <w:shd w:val="clear" w:color="auto" w:fill="FFFFFF"/>
              </w:rPr>
              <w:t xml:space="preserve">Zavezanec za plačilo komunalnega prispevka je dolžan v primeru uveljavljanja preteklih vlaganj iz prejšnjega odstavka, predložiti dokazila oziroma ustrezno dokumentacijo za odstranjene objekte, iz katere so razvidni podatki </w:t>
            </w:r>
            <w:r w:rsidRPr="00885403">
              <w:rPr>
                <w:rFonts w:ascii="Palatino Linotype" w:hAnsi="Palatino Linotype" w:cstheme="minorHAnsi"/>
                <w:color w:val="000000"/>
                <w:shd w:val="clear" w:color="auto" w:fill="FFFFFF"/>
              </w:rPr>
              <w:lastRenderedPageBreak/>
              <w:t xml:space="preserve">o površini, namembnosti in </w:t>
            </w:r>
            <w:proofErr w:type="spellStart"/>
            <w:r w:rsidRPr="00885403">
              <w:rPr>
                <w:rFonts w:ascii="Palatino Linotype" w:hAnsi="Palatino Linotype" w:cstheme="minorHAnsi"/>
                <w:color w:val="000000"/>
                <w:shd w:val="clear" w:color="auto" w:fill="FFFFFF"/>
              </w:rPr>
              <w:t>priključenosti</w:t>
            </w:r>
            <w:proofErr w:type="spellEnd"/>
            <w:r w:rsidRPr="00885403">
              <w:rPr>
                <w:rFonts w:ascii="Palatino Linotype" w:hAnsi="Palatino Linotype" w:cstheme="minorHAnsi"/>
                <w:color w:val="000000"/>
                <w:shd w:val="clear" w:color="auto" w:fill="FFFFFF"/>
              </w:rPr>
              <w:t xml:space="preserve"> na komunalno opremo odstranjenega objekta. O upoštevanju predloženih dokazil, odloči organ Občine Postojna, pristojen za odmero komunalnega prispevka.</w:t>
            </w:r>
          </w:p>
          <w:p w14:paraId="3C5F82AE" w14:textId="77777777" w:rsidR="00D2799C" w:rsidRPr="00885403" w:rsidRDefault="00D2799C" w:rsidP="00885403">
            <w:pPr>
              <w:pStyle w:val="NormalWeb"/>
              <w:spacing w:before="0" w:beforeAutospacing="0" w:after="0" w:afterAutospacing="0" w:line="276" w:lineRule="auto"/>
              <w:jc w:val="both"/>
              <w:rPr>
                <w:rFonts w:ascii="Palatino Linotype" w:hAnsi="Palatino Linotype" w:cstheme="minorHAnsi"/>
                <w:color w:val="000000"/>
                <w:shd w:val="clear" w:color="auto" w:fill="FFFFFF"/>
              </w:rPr>
            </w:pPr>
            <w:r w:rsidRPr="00885403">
              <w:rPr>
                <w:rFonts w:ascii="Palatino Linotype" w:hAnsi="Palatino Linotype" w:cstheme="minorHAnsi"/>
                <w:color w:val="000000"/>
                <w:shd w:val="clear" w:color="auto" w:fill="FFFFFF"/>
              </w:rPr>
              <w:t>Ne glede na določila prvega odstavka tega člena, zavezanec za plačilo komunalnega prispevka, ne more uveljavljati preteklih vlaganj v primeru odstranitve nelegalnega objekta.</w:t>
            </w:r>
          </w:p>
          <w:p w14:paraId="39738E8F" w14:textId="77777777" w:rsidR="00D2799C" w:rsidRPr="00885403" w:rsidRDefault="00D2799C" w:rsidP="00885403">
            <w:pPr>
              <w:pStyle w:val="NoSpacing"/>
              <w:spacing w:line="276" w:lineRule="auto"/>
              <w:rPr>
                <w:rFonts w:cstheme="minorHAnsi"/>
                <w:color w:val="FF0000"/>
                <w:sz w:val="24"/>
                <w:szCs w:val="24"/>
              </w:rPr>
            </w:pPr>
          </w:p>
        </w:tc>
      </w:tr>
      <w:tr w:rsidR="00D2799C" w14:paraId="5E9B0939" w14:textId="77777777" w:rsidTr="00885403">
        <w:tc>
          <w:tcPr>
            <w:tcW w:w="1980" w:type="dxa"/>
            <w:vMerge/>
            <w:shd w:val="clear" w:color="auto" w:fill="D6E3BC" w:themeFill="accent3" w:themeFillTint="66"/>
          </w:tcPr>
          <w:p w14:paraId="2704575E" w14:textId="77777777" w:rsidR="00D2799C" w:rsidRDefault="00D2799C" w:rsidP="006E76A8">
            <w:pPr>
              <w:pStyle w:val="NoSpacing"/>
              <w:rPr>
                <w:color w:val="FF0000"/>
                <w:sz w:val="12"/>
                <w:szCs w:val="12"/>
              </w:rPr>
            </w:pPr>
          </w:p>
        </w:tc>
        <w:tc>
          <w:tcPr>
            <w:tcW w:w="6804" w:type="dxa"/>
          </w:tcPr>
          <w:p w14:paraId="011645BF" w14:textId="77777777" w:rsidR="00D2799C" w:rsidRPr="00885403" w:rsidRDefault="00D2799C" w:rsidP="00885403">
            <w:pPr>
              <w:pStyle w:val="NormalWeb"/>
              <w:spacing w:before="0" w:beforeAutospacing="0" w:after="0" w:afterAutospacing="0" w:line="276" w:lineRule="auto"/>
              <w:jc w:val="both"/>
              <w:rPr>
                <w:rStyle w:val="Strong"/>
                <w:rFonts w:ascii="Palatino Linotype" w:hAnsi="Palatino Linotype" w:cstheme="minorHAnsi"/>
                <w:b w:val="0"/>
                <w:color w:val="0C0C0C"/>
              </w:rPr>
            </w:pPr>
            <w:r w:rsidRPr="00885403">
              <w:rPr>
                <w:rStyle w:val="Strong"/>
                <w:rFonts w:ascii="Palatino Linotype" w:hAnsi="Palatino Linotype" w:cstheme="minorHAnsi"/>
                <w:b w:val="0"/>
                <w:color w:val="0C0C0C"/>
              </w:rPr>
              <w:t xml:space="preserve">Dokazila, ki jih občina Postojna, za vse </w:t>
            </w:r>
            <w:r w:rsidRPr="00885403">
              <w:rPr>
                <w:rStyle w:val="Strong"/>
                <w:rFonts w:ascii="Palatino Linotype" w:hAnsi="Palatino Linotype" w:cstheme="minorHAnsi"/>
                <w:b w:val="0"/>
                <w:color w:val="0C0C0C"/>
                <w:u w:val="single"/>
              </w:rPr>
              <w:t>legalno zgrajene objekte</w:t>
            </w:r>
            <w:r w:rsidRPr="00885403">
              <w:rPr>
                <w:rStyle w:val="Strong"/>
                <w:rFonts w:ascii="Palatino Linotype" w:hAnsi="Palatino Linotype" w:cstheme="minorHAnsi"/>
                <w:b w:val="0"/>
                <w:color w:val="0C0C0C"/>
              </w:rPr>
              <w:t>, ki so ali bodo odstranjeni so sledeča:</w:t>
            </w:r>
          </w:p>
          <w:p w14:paraId="4E7E5F97" w14:textId="77777777" w:rsidR="00D2799C" w:rsidRPr="00885403" w:rsidRDefault="00D2799C" w:rsidP="00885403">
            <w:pPr>
              <w:pStyle w:val="NormalWeb"/>
              <w:spacing w:before="0" w:beforeAutospacing="0" w:after="0" w:afterAutospacing="0" w:line="276" w:lineRule="auto"/>
              <w:jc w:val="both"/>
              <w:rPr>
                <w:rStyle w:val="Strong"/>
                <w:rFonts w:ascii="Palatino Linotype" w:hAnsi="Palatino Linotype" w:cstheme="minorHAnsi"/>
                <w:b w:val="0"/>
                <w:color w:val="0C0C0C"/>
              </w:rPr>
            </w:pPr>
            <w:r w:rsidRPr="00885403">
              <w:rPr>
                <w:rStyle w:val="Strong"/>
                <w:rFonts w:ascii="Palatino Linotype" w:hAnsi="Palatino Linotype" w:cstheme="minorHAnsi"/>
                <w:b w:val="0"/>
                <w:color w:val="0C0C0C"/>
              </w:rPr>
              <w:t xml:space="preserve">Pravnomočno gradbeno dovoljenje, </w:t>
            </w:r>
            <w:r w:rsidRPr="00885403">
              <w:rPr>
                <w:rFonts w:ascii="Palatino Linotype" w:hAnsi="Palatino Linotype" w:cstheme="minorHAnsi"/>
                <w:color w:val="000000"/>
                <w:shd w:val="clear" w:color="auto" w:fill="FFFFFF"/>
              </w:rPr>
              <w:t xml:space="preserve">domneva izdanega gradbenega in uporabnega dovoljenja po ZGO-1, pravnomočno gradbeno dovoljenje za rušitev objekta, dokazilo o prijavi rušitve objekta pri pristojnem organu, dokazila o vlaganji v komunalno opremo, npr. dokazila o plačilu komunalnega prispevka za posamezno komunalno opremo, dokazila iz uradne evidence GURS – leto izgradnje, </w:t>
            </w:r>
            <w:proofErr w:type="spellStart"/>
            <w:r w:rsidRPr="00885403">
              <w:rPr>
                <w:rFonts w:ascii="Palatino Linotype" w:hAnsi="Palatino Linotype" w:cstheme="minorHAnsi"/>
                <w:color w:val="000000"/>
                <w:shd w:val="clear" w:color="auto" w:fill="FFFFFF"/>
              </w:rPr>
              <w:t>priključenost</w:t>
            </w:r>
            <w:proofErr w:type="spellEnd"/>
            <w:r w:rsidRPr="00885403">
              <w:rPr>
                <w:rFonts w:ascii="Palatino Linotype" w:hAnsi="Palatino Linotype" w:cstheme="minorHAnsi"/>
                <w:color w:val="000000"/>
                <w:shd w:val="clear" w:color="auto" w:fill="FFFFFF"/>
              </w:rPr>
              <w:t xml:space="preserve"> na posamezno kom. infrastrukturo, podatki o površini stavbe ter o površini zemljišča pod stavbo, geodetski elaborat,..</w:t>
            </w:r>
          </w:p>
          <w:p w14:paraId="6C987076" w14:textId="77777777" w:rsidR="00D2799C" w:rsidRPr="00885403" w:rsidRDefault="00D2799C" w:rsidP="00885403">
            <w:pPr>
              <w:pStyle w:val="NoSpacing"/>
              <w:spacing w:line="276" w:lineRule="auto"/>
              <w:rPr>
                <w:rFonts w:cstheme="minorHAnsi"/>
                <w:color w:val="FF0000"/>
                <w:sz w:val="24"/>
                <w:szCs w:val="24"/>
              </w:rPr>
            </w:pPr>
          </w:p>
        </w:tc>
        <w:tc>
          <w:tcPr>
            <w:tcW w:w="5486" w:type="dxa"/>
          </w:tcPr>
          <w:p w14:paraId="0C009618" w14:textId="77777777" w:rsidR="00D2799C" w:rsidRPr="00885403" w:rsidRDefault="00D2799C" w:rsidP="00885403">
            <w:pPr>
              <w:pStyle w:val="NormalWeb"/>
              <w:spacing w:before="0" w:beforeAutospacing="0" w:after="0" w:afterAutospacing="0" w:line="276" w:lineRule="auto"/>
              <w:jc w:val="both"/>
              <w:rPr>
                <w:rFonts w:ascii="Palatino Linotype" w:hAnsi="Palatino Linotype" w:cstheme="minorHAnsi"/>
                <w:b/>
                <w:bCs/>
                <w:color w:val="0C0C0C"/>
              </w:rPr>
            </w:pPr>
            <w:r w:rsidRPr="00885403">
              <w:rPr>
                <w:rStyle w:val="Strong"/>
                <w:rFonts w:ascii="Palatino Linotype" w:hAnsi="Palatino Linotype" w:cstheme="minorHAnsi"/>
                <w:b w:val="0"/>
                <w:color w:val="0C0C0C"/>
              </w:rPr>
              <w:t>Vojaške objekte pri odmeri komunalnega prispevka obravnavamo kot vse ostale. Na strani vlagatelja je, da dokaže, da je objekt legalno zgrajen. Podatke za odmero komunalnega prispevka, če niso del projektne dokumentaciji, pridobimo iz uradne evidence GURS.</w:t>
            </w:r>
          </w:p>
          <w:p w14:paraId="2F1F4B5D" w14:textId="77777777" w:rsidR="00D2799C" w:rsidRPr="00885403" w:rsidRDefault="00D2799C" w:rsidP="00885403">
            <w:pPr>
              <w:pStyle w:val="NoSpacing"/>
              <w:spacing w:line="276" w:lineRule="auto"/>
              <w:rPr>
                <w:rFonts w:cstheme="minorHAnsi"/>
                <w:color w:val="FF0000"/>
                <w:sz w:val="24"/>
                <w:szCs w:val="24"/>
              </w:rPr>
            </w:pPr>
          </w:p>
        </w:tc>
      </w:tr>
    </w:tbl>
    <w:p w14:paraId="269AF791" w14:textId="77777777" w:rsidR="00D2799C" w:rsidRPr="004A47BE" w:rsidRDefault="00D2799C" w:rsidP="006E76A8">
      <w:pPr>
        <w:pStyle w:val="NoSpacing"/>
        <w:rPr>
          <w:color w:val="FF0000"/>
          <w:sz w:val="12"/>
          <w:szCs w:val="12"/>
        </w:rPr>
      </w:pPr>
    </w:p>
    <w:p w14:paraId="10A9B1CD" w14:textId="77777777" w:rsidR="0065321B" w:rsidRPr="004A47BE" w:rsidRDefault="0065321B">
      <w:pPr>
        <w:spacing w:before="6"/>
        <w:rPr>
          <w:color w:val="FF0000"/>
          <w:sz w:val="6"/>
          <w:szCs w:val="14"/>
        </w:rPr>
      </w:pPr>
    </w:p>
    <w:p w14:paraId="478D982E" w14:textId="77777777" w:rsidR="004A47BE" w:rsidRDefault="00D2799C" w:rsidP="004A47BE">
      <w:pPr>
        <w:pStyle w:val="Caption"/>
        <w:rPr>
          <w:i w:val="0"/>
          <w:iCs w:val="0"/>
          <w:color w:val="auto"/>
          <w:sz w:val="24"/>
          <w:szCs w:val="24"/>
        </w:rPr>
      </w:pPr>
      <w:r>
        <w:rPr>
          <w:i w:val="0"/>
          <w:iCs w:val="0"/>
          <w:color w:val="auto"/>
          <w:sz w:val="24"/>
          <w:szCs w:val="24"/>
        </w:rPr>
        <w:t>November 20</w:t>
      </w:r>
      <w:r w:rsidR="00885403">
        <w:rPr>
          <w:i w:val="0"/>
          <w:iCs w:val="0"/>
          <w:color w:val="auto"/>
          <w:sz w:val="24"/>
          <w:szCs w:val="24"/>
        </w:rPr>
        <w:t>22</w:t>
      </w:r>
    </w:p>
    <w:p w14:paraId="01D1AF46" w14:textId="77777777" w:rsidR="00885403" w:rsidRDefault="00885403" w:rsidP="00885403"/>
    <w:p w14:paraId="5988DB6E" w14:textId="77777777" w:rsidR="00D86922" w:rsidRPr="007A2B50" w:rsidRDefault="00D86922" w:rsidP="00885403">
      <w:pPr>
        <w:pStyle w:val="NoSpacing"/>
      </w:pPr>
    </w:p>
    <w:sectPr w:rsidR="00D86922" w:rsidRPr="007A2B50">
      <w:headerReference w:type="default" r:id="rId9"/>
      <w:pgSz w:w="16840" w:h="11910" w:orient="landscape"/>
      <w:pgMar w:top="1880" w:right="1280" w:bottom="280" w:left="1280" w:header="7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F6D91" w14:textId="77777777" w:rsidR="00CB30F0" w:rsidRDefault="00CB30F0">
      <w:r>
        <w:separator/>
      </w:r>
    </w:p>
  </w:endnote>
  <w:endnote w:type="continuationSeparator" w:id="0">
    <w:p w14:paraId="2C38D05F" w14:textId="77777777" w:rsidR="00CB30F0" w:rsidRDefault="00CB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40EF" w14:textId="77777777" w:rsidR="00CB30F0" w:rsidRDefault="00CB30F0">
      <w:r>
        <w:separator/>
      </w:r>
    </w:p>
  </w:footnote>
  <w:footnote w:type="continuationSeparator" w:id="0">
    <w:p w14:paraId="0F56EE06" w14:textId="77777777" w:rsidR="00CB30F0" w:rsidRDefault="00CB3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5AAD" w14:textId="77777777" w:rsidR="0065321B" w:rsidRDefault="002559F4">
    <w:pPr>
      <w:pStyle w:val="BodyText"/>
      <w:spacing w:line="14" w:lineRule="auto"/>
      <w:rPr>
        <w:b w:val="0"/>
        <w:sz w:val="20"/>
      </w:rPr>
    </w:pPr>
    <w:r>
      <w:rPr>
        <w:noProof/>
      </w:rPr>
      <w:drawing>
        <wp:anchor distT="0" distB="0" distL="0" distR="0" simplePos="0" relativeHeight="487411712" behindDoc="1" locked="0" layoutInCell="1" allowOverlap="1" wp14:anchorId="3B05C160" wp14:editId="66D86194">
          <wp:simplePos x="0" y="0"/>
          <wp:positionH relativeFrom="page">
            <wp:posOffset>4193540</wp:posOffset>
          </wp:positionH>
          <wp:positionV relativeFrom="page">
            <wp:posOffset>467961</wp:posOffset>
          </wp:positionV>
          <wp:extent cx="2275672" cy="730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75672" cy="7306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A09CE"/>
    <w:multiLevelType w:val="hybridMultilevel"/>
    <w:tmpl w:val="4E28C4DC"/>
    <w:lvl w:ilvl="0" w:tplc="393405C8">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FB4CB1"/>
    <w:multiLevelType w:val="multilevel"/>
    <w:tmpl w:val="A8B842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7EE0D54"/>
    <w:multiLevelType w:val="hybridMultilevel"/>
    <w:tmpl w:val="E070C95C"/>
    <w:lvl w:ilvl="0" w:tplc="6098460C">
      <w:numFmt w:val="bullet"/>
      <w:lvlText w:val=""/>
      <w:lvlJc w:val="left"/>
      <w:pPr>
        <w:ind w:left="849" w:hanging="356"/>
      </w:pPr>
      <w:rPr>
        <w:rFonts w:ascii="Symbol" w:eastAsia="Symbol" w:hAnsi="Symbol" w:cs="Symbol" w:hint="default"/>
        <w:w w:val="99"/>
        <w:sz w:val="20"/>
        <w:szCs w:val="20"/>
        <w:lang w:val="sl-SI" w:eastAsia="en-US" w:bidi="ar-SA"/>
      </w:rPr>
    </w:lvl>
    <w:lvl w:ilvl="1" w:tplc="8F505266">
      <w:numFmt w:val="bullet"/>
      <w:lvlText w:val="•"/>
      <w:lvlJc w:val="left"/>
      <w:pPr>
        <w:ind w:left="2183" w:hanging="356"/>
      </w:pPr>
      <w:rPr>
        <w:rFonts w:hint="default"/>
        <w:lang w:val="sl-SI" w:eastAsia="en-US" w:bidi="ar-SA"/>
      </w:rPr>
    </w:lvl>
    <w:lvl w:ilvl="2" w:tplc="68C82BC2">
      <w:numFmt w:val="bullet"/>
      <w:lvlText w:val="•"/>
      <w:lvlJc w:val="left"/>
      <w:pPr>
        <w:ind w:left="3527" w:hanging="356"/>
      </w:pPr>
      <w:rPr>
        <w:rFonts w:hint="default"/>
        <w:lang w:val="sl-SI" w:eastAsia="en-US" w:bidi="ar-SA"/>
      </w:rPr>
    </w:lvl>
    <w:lvl w:ilvl="3" w:tplc="3B50D802">
      <w:numFmt w:val="bullet"/>
      <w:lvlText w:val="•"/>
      <w:lvlJc w:val="left"/>
      <w:pPr>
        <w:ind w:left="4871" w:hanging="356"/>
      </w:pPr>
      <w:rPr>
        <w:rFonts w:hint="default"/>
        <w:lang w:val="sl-SI" w:eastAsia="en-US" w:bidi="ar-SA"/>
      </w:rPr>
    </w:lvl>
    <w:lvl w:ilvl="4" w:tplc="68D29932">
      <w:numFmt w:val="bullet"/>
      <w:lvlText w:val="•"/>
      <w:lvlJc w:val="left"/>
      <w:pPr>
        <w:ind w:left="6215" w:hanging="356"/>
      </w:pPr>
      <w:rPr>
        <w:rFonts w:hint="default"/>
        <w:lang w:val="sl-SI" w:eastAsia="en-US" w:bidi="ar-SA"/>
      </w:rPr>
    </w:lvl>
    <w:lvl w:ilvl="5" w:tplc="BF908510">
      <w:numFmt w:val="bullet"/>
      <w:lvlText w:val="•"/>
      <w:lvlJc w:val="left"/>
      <w:pPr>
        <w:ind w:left="7559" w:hanging="356"/>
      </w:pPr>
      <w:rPr>
        <w:rFonts w:hint="default"/>
        <w:lang w:val="sl-SI" w:eastAsia="en-US" w:bidi="ar-SA"/>
      </w:rPr>
    </w:lvl>
    <w:lvl w:ilvl="6" w:tplc="2612E766">
      <w:numFmt w:val="bullet"/>
      <w:lvlText w:val="•"/>
      <w:lvlJc w:val="left"/>
      <w:pPr>
        <w:ind w:left="8903" w:hanging="356"/>
      </w:pPr>
      <w:rPr>
        <w:rFonts w:hint="default"/>
        <w:lang w:val="sl-SI" w:eastAsia="en-US" w:bidi="ar-SA"/>
      </w:rPr>
    </w:lvl>
    <w:lvl w:ilvl="7" w:tplc="B794268C">
      <w:numFmt w:val="bullet"/>
      <w:lvlText w:val="•"/>
      <w:lvlJc w:val="left"/>
      <w:pPr>
        <w:ind w:left="10246" w:hanging="356"/>
      </w:pPr>
      <w:rPr>
        <w:rFonts w:hint="default"/>
        <w:lang w:val="sl-SI" w:eastAsia="en-US" w:bidi="ar-SA"/>
      </w:rPr>
    </w:lvl>
    <w:lvl w:ilvl="8" w:tplc="4CA0E7BE">
      <w:numFmt w:val="bullet"/>
      <w:lvlText w:val="•"/>
      <w:lvlJc w:val="left"/>
      <w:pPr>
        <w:ind w:left="11590" w:hanging="356"/>
      </w:pPr>
      <w:rPr>
        <w:rFonts w:hint="default"/>
        <w:lang w:val="sl-SI" w:eastAsia="en-US" w:bidi="ar-SA"/>
      </w:rPr>
    </w:lvl>
  </w:abstractNum>
  <w:abstractNum w:abstractNumId="3" w15:restartNumberingAfterBreak="0">
    <w:nsid w:val="63503DE5"/>
    <w:multiLevelType w:val="hybridMultilevel"/>
    <w:tmpl w:val="61F2EE44"/>
    <w:lvl w:ilvl="0" w:tplc="521E9A9C">
      <w:numFmt w:val="bullet"/>
      <w:lvlText w:val=""/>
      <w:lvlJc w:val="left"/>
      <w:pPr>
        <w:ind w:left="388" w:hanging="360"/>
      </w:pPr>
      <w:rPr>
        <w:rFonts w:ascii="Symbol" w:eastAsia="Symbol" w:hAnsi="Symbol" w:cs="Symbol" w:hint="default"/>
        <w:w w:val="100"/>
        <w:sz w:val="22"/>
        <w:szCs w:val="22"/>
        <w:lang w:val="sl-SI" w:eastAsia="en-US" w:bidi="ar-SA"/>
      </w:rPr>
    </w:lvl>
    <w:lvl w:ilvl="1" w:tplc="E48C5BB6">
      <w:numFmt w:val="bullet"/>
      <w:lvlText w:val="•"/>
      <w:lvlJc w:val="left"/>
      <w:pPr>
        <w:ind w:left="1712" w:hanging="360"/>
      </w:pPr>
      <w:rPr>
        <w:rFonts w:hint="default"/>
        <w:lang w:val="sl-SI" w:eastAsia="en-US" w:bidi="ar-SA"/>
      </w:rPr>
    </w:lvl>
    <w:lvl w:ilvl="2" w:tplc="EC9803C8">
      <w:numFmt w:val="bullet"/>
      <w:lvlText w:val="•"/>
      <w:lvlJc w:val="left"/>
      <w:pPr>
        <w:ind w:left="3044" w:hanging="360"/>
      </w:pPr>
      <w:rPr>
        <w:rFonts w:hint="default"/>
        <w:lang w:val="sl-SI" w:eastAsia="en-US" w:bidi="ar-SA"/>
      </w:rPr>
    </w:lvl>
    <w:lvl w:ilvl="3" w:tplc="7640065A">
      <w:numFmt w:val="bullet"/>
      <w:lvlText w:val="•"/>
      <w:lvlJc w:val="left"/>
      <w:pPr>
        <w:ind w:left="4377" w:hanging="360"/>
      </w:pPr>
      <w:rPr>
        <w:rFonts w:hint="default"/>
        <w:lang w:val="sl-SI" w:eastAsia="en-US" w:bidi="ar-SA"/>
      </w:rPr>
    </w:lvl>
    <w:lvl w:ilvl="4" w:tplc="F8CAFE76">
      <w:numFmt w:val="bullet"/>
      <w:lvlText w:val="•"/>
      <w:lvlJc w:val="left"/>
      <w:pPr>
        <w:ind w:left="5709" w:hanging="360"/>
      </w:pPr>
      <w:rPr>
        <w:rFonts w:hint="default"/>
        <w:lang w:val="sl-SI" w:eastAsia="en-US" w:bidi="ar-SA"/>
      </w:rPr>
    </w:lvl>
    <w:lvl w:ilvl="5" w:tplc="7B7E2D7A">
      <w:numFmt w:val="bullet"/>
      <w:lvlText w:val="•"/>
      <w:lvlJc w:val="left"/>
      <w:pPr>
        <w:ind w:left="7041" w:hanging="360"/>
      </w:pPr>
      <w:rPr>
        <w:rFonts w:hint="default"/>
        <w:lang w:val="sl-SI" w:eastAsia="en-US" w:bidi="ar-SA"/>
      </w:rPr>
    </w:lvl>
    <w:lvl w:ilvl="6" w:tplc="E86612AE">
      <w:numFmt w:val="bullet"/>
      <w:lvlText w:val="•"/>
      <w:lvlJc w:val="left"/>
      <w:pPr>
        <w:ind w:left="8374" w:hanging="360"/>
      </w:pPr>
      <w:rPr>
        <w:rFonts w:hint="default"/>
        <w:lang w:val="sl-SI" w:eastAsia="en-US" w:bidi="ar-SA"/>
      </w:rPr>
    </w:lvl>
    <w:lvl w:ilvl="7" w:tplc="E2BCCE70">
      <w:numFmt w:val="bullet"/>
      <w:lvlText w:val="•"/>
      <w:lvlJc w:val="left"/>
      <w:pPr>
        <w:ind w:left="9706" w:hanging="360"/>
      </w:pPr>
      <w:rPr>
        <w:rFonts w:hint="default"/>
        <w:lang w:val="sl-SI" w:eastAsia="en-US" w:bidi="ar-SA"/>
      </w:rPr>
    </w:lvl>
    <w:lvl w:ilvl="8" w:tplc="2D34AC46">
      <w:numFmt w:val="bullet"/>
      <w:lvlText w:val="•"/>
      <w:lvlJc w:val="left"/>
      <w:pPr>
        <w:ind w:left="11038" w:hanging="360"/>
      </w:pPr>
      <w:rPr>
        <w:rFonts w:hint="default"/>
        <w:lang w:val="sl-SI" w:eastAsia="en-US" w:bidi="ar-SA"/>
      </w:rPr>
    </w:lvl>
  </w:abstractNum>
  <w:num w:numId="1" w16cid:durableId="178202364">
    <w:abstractNumId w:val="3"/>
  </w:num>
  <w:num w:numId="2" w16cid:durableId="2096628235">
    <w:abstractNumId w:val="2"/>
  </w:num>
  <w:num w:numId="3" w16cid:durableId="1029793313">
    <w:abstractNumId w:val="1"/>
  </w:num>
  <w:num w:numId="4" w16cid:durableId="1442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B"/>
    <w:rsid w:val="000909C4"/>
    <w:rsid w:val="000B6295"/>
    <w:rsid w:val="001D08DE"/>
    <w:rsid w:val="002559F4"/>
    <w:rsid w:val="00277B77"/>
    <w:rsid w:val="003569B2"/>
    <w:rsid w:val="003D5AD0"/>
    <w:rsid w:val="004A47BE"/>
    <w:rsid w:val="004D47C6"/>
    <w:rsid w:val="005838A5"/>
    <w:rsid w:val="0065321B"/>
    <w:rsid w:val="0067796D"/>
    <w:rsid w:val="006E76A8"/>
    <w:rsid w:val="007A2B50"/>
    <w:rsid w:val="007F5542"/>
    <w:rsid w:val="00885403"/>
    <w:rsid w:val="00895F48"/>
    <w:rsid w:val="008F0F36"/>
    <w:rsid w:val="00920AF2"/>
    <w:rsid w:val="00A868EC"/>
    <w:rsid w:val="00BD33C2"/>
    <w:rsid w:val="00BE739C"/>
    <w:rsid w:val="00C065ED"/>
    <w:rsid w:val="00C4189A"/>
    <w:rsid w:val="00C664EB"/>
    <w:rsid w:val="00CB30F0"/>
    <w:rsid w:val="00CF2C1D"/>
    <w:rsid w:val="00D2799C"/>
    <w:rsid w:val="00D86922"/>
    <w:rsid w:val="00DC5ED8"/>
    <w:rsid w:val="00DE7E7D"/>
    <w:rsid w:val="00FC30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C2F9"/>
  <w15:docId w15:val="{03D735E5-A6BE-4A38-BC35-77181C99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rPr>
  </w:style>
  <w:style w:type="paragraph" w:styleId="Title">
    <w:name w:val="Title"/>
    <w:basedOn w:val="Normal"/>
    <w:uiPriority w:val="10"/>
    <w:qFormat/>
    <w:pPr>
      <w:spacing w:line="430" w:lineRule="exact"/>
      <w:ind w:left="4198" w:right="4198"/>
      <w:jc w:val="center"/>
    </w:pPr>
    <w:rPr>
      <w:sz w:val="32"/>
      <w:szCs w:val="32"/>
    </w:rPr>
  </w:style>
  <w:style w:type="paragraph" w:styleId="ListParagraph">
    <w:name w:val="List Paragraph"/>
    <w:basedOn w:val="Normal"/>
    <w:uiPriority w:val="1"/>
    <w:qFormat/>
    <w:pPr>
      <w:spacing w:before="23"/>
      <w:ind w:left="849" w:hanging="356"/>
    </w:pPr>
  </w:style>
  <w:style w:type="paragraph" w:customStyle="1" w:styleId="TableParagraph">
    <w:name w:val="Table Paragraph"/>
    <w:basedOn w:val="Normal"/>
    <w:uiPriority w:val="1"/>
    <w:qFormat/>
    <w:pPr>
      <w:spacing w:before="1"/>
      <w:ind w:left="110"/>
    </w:pPr>
  </w:style>
  <w:style w:type="paragraph" w:styleId="NormalWeb">
    <w:name w:val="Normal (Web)"/>
    <w:basedOn w:val="Normal"/>
    <w:uiPriority w:val="99"/>
    <w:unhideWhenUsed/>
    <w:rsid w:val="006E76A8"/>
    <w:pPr>
      <w:widowControl/>
      <w:autoSpaceDE/>
      <w:autoSpaceDN/>
      <w:spacing w:before="100" w:beforeAutospacing="1" w:after="100" w:afterAutospacing="1"/>
    </w:pPr>
    <w:rPr>
      <w:rFonts w:ascii="Times New Roman" w:eastAsiaTheme="minorHAnsi" w:hAnsi="Times New Roman" w:cs="Times New Roman"/>
      <w:sz w:val="24"/>
      <w:szCs w:val="24"/>
      <w:lang w:eastAsia="sl-SI"/>
    </w:rPr>
  </w:style>
  <w:style w:type="character" w:styleId="Strong">
    <w:name w:val="Strong"/>
    <w:basedOn w:val="DefaultParagraphFont"/>
    <w:uiPriority w:val="22"/>
    <w:qFormat/>
    <w:rsid w:val="006E76A8"/>
    <w:rPr>
      <w:b/>
      <w:bCs/>
    </w:rPr>
  </w:style>
  <w:style w:type="paragraph" w:styleId="NoSpacing">
    <w:name w:val="No Spacing"/>
    <w:uiPriority w:val="1"/>
    <w:qFormat/>
    <w:rsid w:val="006E76A8"/>
    <w:rPr>
      <w:rFonts w:ascii="Palatino Linotype" w:eastAsia="Palatino Linotype" w:hAnsi="Palatino Linotype" w:cs="Palatino Linotype"/>
      <w:lang w:val="sl-SI"/>
    </w:rPr>
  </w:style>
  <w:style w:type="paragraph" w:styleId="Caption">
    <w:name w:val="caption"/>
    <w:basedOn w:val="Normal"/>
    <w:next w:val="Normal"/>
    <w:uiPriority w:val="35"/>
    <w:unhideWhenUsed/>
    <w:qFormat/>
    <w:rsid w:val="007A2B50"/>
    <w:pPr>
      <w:spacing w:after="200"/>
    </w:pPr>
    <w:rPr>
      <w:i/>
      <w:iCs/>
      <w:color w:val="1F497D" w:themeColor="text2"/>
      <w:sz w:val="18"/>
      <w:szCs w:val="18"/>
    </w:rPr>
  </w:style>
  <w:style w:type="character" w:styleId="Hyperlink">
    <w:name w:val="Hyperlink"/>
    <w:basedOn w:val="DefaultParagraphFont"/>
    <w:uiPriority w:val="99"/>
    <w:semiHidden/>
    <w:unhideWhenUsed/>
    <w:rsid w:val="00D86922"/>
    <w:rPr>
      <w:color w:val="0000FF"/>
      <w:u w:val="single"/>
    </w:rPr>
  </w:style>
  <w:style w:type="paragraph" w:styleId="Header">
    <w:name w:val="header"/>
    <w:basedOn w:val="Normal"/>
    <w:link w:val="HeaderChar"/>
    <w:uiPriority w:val="99"/>
    <w:unhideWhenUsed/>
    <w:rsid w:val="004A47BE"/>
    <w:pPr>
      <w:tabs>
        <w:tab w:val="center" w:pos="4536"/>
        <w:tab w:val="right" w:pos="9072"/>
      </w:tabs>
    </w:pPr>
  </w:style>
  <w:style w:type="character" w:customStyle="1" w:styleId="HeaderChar">
    <w:name w:val="Header Char"/>
    <w:basedOn w:val="DefaultParagraphFont"/>
    <w:link w:val="Header"/>
    <w:uiPriority w:val="99"/>
    <w:rsid w:val="004A47BE"/>
    <w:rPr>
      <w:rFonts w:ascii="Palatino Linotype" w:eastAsia="Palatino Linotype" w:hAnsi="Palatino Linotype" w:cs="Palatino Linotype"/>
      <w:lang w:val="sl-SI"/>
    </w:rPr>
  </w:style>
  <w:style w:type="paragraph" w:styleId="Footer">
    <w:name w:val="footer"/>
    <w:basedOn w:val="Normal"/>
    <w:link w:val="FooterChar"/>
    <w:uiPriority w:val="99"/>
    <w:unhideWhenUsed/>
    <w:rsid w:val="004A47BE"/>
    <w:pPr>
      <w:tabs>
        <w:tab w:val="center" w:pos="4536"/>
        <w:tab w:val="right" w:pos="9072"/>
      </w:tabs>
    </w:pPr>
  </w:style>
  <w:style w:type="character" w:customStyle="1" w:styleId="FooterChar">
    <w:name w:val="Footer Char"/>
    <w:basedOn w:val="DefaultParagraphFont"/>
    <w:link w:val="Footer"/>
    <w:uiPriority w:val="99"/>
    <w:rsid w:val="004A47BE"/>
    <w:rPr>
      <w:rFonts w:ascii="Palatino Linotype" w:eastAsia="Palatino Linotype" w:hAnsi="Palatino Linotype" w:cs="Palatino Linotype"/>
      <w:lang w:val="sl-SI"/>
    </w:rPr>
  </w:style>
  <w:style w:type="table" w:styleId="TableGrid">
    <w:name w:val="Table Grid"/>
    <w:basedOn w:val="TableNormal"/>
    <w:uiPriority w:val="39"/>
    <w:rsid w:val="00D27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2310">
      <w:bodyDiv w:val="1"/>
      <w:marLeft w:val="0"/>
      <w:marRight w:val="0"/>
      <w:marTop w:val="0"/>
      <w:marBottom w:val="0"/>
      <w:divBdr>
        <w:top w:val="none" w:sz="0" w:space="0" w:color="auto"/>
        <w:left w:val="none" w:sz="0" w:space="0" w:color="auto"/>
        <w:bottom w:val="none" w:sz="0" w:space="0" w:color="auto"/>
        <w:right w:val="none" w:sz="0" w:space="0" w:color="auto"/>
      </w:divBdr>
    </w:div>
    <w:div w:id="159121827">
      <w:bodyDiv w:val="1"/>
      <w:marLeft w:val="0"/>
      <w:marRight w:val="0"/>
      <w:marTop w:val="0"/>
      <w:marBottom w:val="0"/>
      <w:divBdr>
        <w:top w:val="none" w:sz="0" w:space="0" w:color="auto"/>
        <w:left w:val="none" w:sz="0" w:space="0" w:color="auto"/>
        <w:bottom w:val="none" w:sz="0" w:space="0" w:color="auto"/>
        <w:right w:val="none" w:sz="0" w:space="0" w:color="auto"/>
      </w:divBdr>
    </w:div>
    <w:div w:id="351876840">
      <w:bodyDiv w:val="1"/>
      <w:marLeft w:val="0"/>
      <w:marRight w:val="0"/>
      <w:marTop w:val="0"/>
      <w:marBottom w:val="0"/>
      <w:divBdr>
        <w:top w:val="none" w:sz="0" w:space="0" w:color="auto"/>
        <w:left w:val="none" w:sz="0" w:space="0" w:color="auto"/>
        <w:bottom w:val="none" w:sz="0" w:space="0" w:color="auto"/>
        <w:right w:val="none" w:sz="0" w:space="0" w:color="auto"/>
      </w:divBdr>
    </w:div>
    <w:div w:id="475530488">
      <w:bodyDiv w:val="1"/>
      <w:marLeft w:val="0"/>
      <w:marRight w:val="0"/>
      <w:marTop w:val="0"/>
      <w:marBottom w:val="0"/>
      <w:divBdr>
        <w:top w:val="none" w:sz="0" w:space="0" w:color="auto"/>
        <w:left w:val="none" w:sz="0" w:space="0" w:color="auto"/>
        <w:bottom w:val="none" w:sz="0" w:space="0" w:color="auto"/>
        <w:right w:val="none" w:sz="0" w:space="0" w:color="auto"/>
      </w:divBdr>
    </w:div>
    <w:div w:id="768935119">
      <w:bodyDiv w:val="1"/>
      <w:marLeft w:val="0"/>
      <w:marRight w:val="0"/>
      <w:marTop w:val="0"/>
      <w:marBottom w:val="0"/>
      <w:divBdr>
        <w:top w:val="none" w:sz="0" w:space="0" w:color="auto"/>
        <w:left w:val="none" w:sz="0" w:space="0" w:color="auto"/>
        <w:bottom w:val="none" w:sz="0" w:space="0" w:color="auto"/>
        <w:right w:val="none" w:sz="0" w:space="0" w:color="auto"/>
      </w:divBdr>
    </w:div>
    <w:div w:id="824129419">
      <w:bodyDiv w:val="1"/>
      <w:marLeft w:val="0"/>
      <w:marRight w:val="0"/>
      <w:marTop w:val="0"/>
      <w:marBottom w:val="0"/>
      <w:divBdr>
        <w:top w:val="none" w:sz="0" w:space="0" w:color="auto"/>
        <w:left w:val="none" w:sz="0" w:space="0" w:color="auto"/>
        <w:bottom w:val="none" w:sz="0" w:space="0" w:color="auto"/>
        <w:right w:val="none" w:sz="0" w:space="0" w:color="auto"/>
      </w:divBdr>
    </w:div>
    <w:div w:id="827747982">
      <w:bodyDiv w:val="1"/>
      <w:marLeft w:val="0"/>
      <w:marRight w:val="0"/>
      <w:marTop w:val="0"/>
      <w:marBottom w:val="0"/>
      <w:divBdr>
        <w:top w:val="none" w:sz="0" w:space="0" w:color="auto"/>
        <w:left w:val="none" w:sz="0" w:space="0" w:color="auto"/>
        <w:bottom w:val="none" w:sz="0" w:space="0" w:color="auto"/>
        <w:right w:val="none" w:sz="0" w:space="0" w:color="auto"/>
      </w:divBdr>
    </w:div>
    <w:div w:id="938492612">
      <w:bodyDiv w:val="1"/>
      <w:marLeft w:val="0"/>
      <w:marRight w:val="0"/>
      <w:marTop w:val="0"/>
      <w:marBottom w:val="0"/>
      <w:divBdr>
        <w:top w:val="none" w:sz="0" w:space="0" w:color="auto"/>
        <w:left w:val="none" w:sz="0" w:space="0" w:color="auto"/>
        <w:bottom w:val="none" w:sz="0" w:space="0" w:color="auto"/>
        <w:right w:val="none" w:sz="0" w:space="0" w:color="auto"/>
      </w:divBdr>
    </w:div>
    <w:div w:id="951323564">
      <w:bodyDiv w:val="1"/>
      <w:marLeft w:val="0"/>
      <w:marRight w:val="0"/>
      <w:marTop w:val="0"/>
      <w:marBottom w:val="0"/>
      <w:divBdr>
        <w:top w:val="none" w:sz="0" w:space="0" w:color="auto"/>
        <w:left w:val="none" w:sz="0" w:space="0" w:color="auto"/>
        <w:bottom w:val="none" w:sz="0" w:space="0" w:color="auto"/>
        <w:right w:val="none" w:sz="0" w:space="0" w:color="auto"/>
      </w:divBdr>
    </w:div>
    <w:div w:id="1110396194">
      <w:bodyDiv w:val="1"/>
      <w:marLeft w:val="0"/>
      <w:marRight w:val="0"/>
      <w:marTop w:val="0"/>
      <w:marBottom w:val="0"/>
      <w:divBdr>
        <w:top w:val="none" w:sz="0" w:space="0" w:color="auto"/>
        <w:left w:val="none" w:sz="0" w:space="0" w:color="auto"/>
        <w:bottom w:val="none" w:sz="0" w:space="0" w:color="auto"/>
        <w:right w:val="none" w:sz="0" w:space="0" w:color="auto"/>
      </w:divBdr>
    </w:div>
    <w:div w:id="1116214111">
      <w:bodyDiv w:val="1"/>
      <w:marLeft w:val="0"/>
      <w:marRight w:val="0"/>
      <w:marTop w:val="0"/>
      <w:marBottom w:val="0"/>
      <w:divBdr>
        <w:top w:val="none" w:sz="0" w:space="0" w:color="auto"/>
        <w:left w:val="none" w:sz="0" w:space="0" w:color="auto"/>
        <w:bottom w:val="none" w:sz="0" w:space="0" w:color="auto"/>
        <w:right w:val="none" w:sz="0" w:space="0" w:color="auto"/>
      </w:divBdr>
    </w:div>
    <w:div w:id="1197693529">
      <w:bodyDiv w:val="1"/>
      <w:marLeft w:val="0"/>
      <w:marRight w:val="0"/>
      <w:marTop w:val="0"/>
      <w:marBottom w:val="0"/>
      <w:divBdr>
        <w:top w:val="none" w:sz="0" w:space="0" w:color="auto"/>
        <w:left w:val="none" w:sz="0" w:space="0" w:color="auto"/>
        <w:bottom w:val="none" w:sz="0" w:space="0" w:color="auto"/>
        <w:right w:val="none" w:sz="0" w:space="0" w:color="auto"/>
      </w:divBdr>
    </w:div>
    <w:div w:id="1705207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0-01-0581/odlok-o-podlagah-za-odmero-komunalnega-prispevka-za-obstojeco-komunalno-opremo-za-obmocje-obcine-grosuplj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F3B83-C667-4091-8E3D-AC38255E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697</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Babič</dc:creator>
  <cp:lastModifiedBy>Ana Plavčak</cp:lastModifiedBy>
  <cp:revision>9</cp:revision>
  <cp:lastPrinted>2022-12-02T05:53:00Z</cp:lastPrinted>
  <dcterms:created xsi:type="dcterms:W3CDTF">2022-09-08T11:36:00Z</dcterms:created>
  <dcterms:modified xsi:type="dcterms:W3CDTF">2022-12-02T05:53:00Z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for Microsoft 365</vt:lpwstr>
  </property>
  <property fmtid="{D5CDD505-2E9C-101B-9397-08002B2CF9AE}" pid="4" name="LastSaved">
    <vt:filetime>2021-02-18T00:00:00Z</vt:filetime>
  </property>
</Properties>
</file>