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2410" w14:textId="6682FB43" w:rsidR="0053216F" w:rsidRPr="000B769A" w:rsidRDefault="00A23947" w:rsidP="006F433B">
      <w:pPr>
        <w:spacing w:line="280" w:lineRule="atLeast"/>
        <w:contextualSpacing/>
        <w:jc w:val="center"/>
        <w:rPr>
          <w:rFonts w:ascii="Barlow" w:hAnsi="Barlow"/>
          <w:b/>
          <w:sz w:val="20"/>
          <w:szCs w:val="20"/>
          <w:u w:val="single"/>
          <w:lang w:val="en-GB"/>
        </w:rPr>
      </w:pPr>
      <w:proofErr w:type="spellStart"/>
      <w:r w:rsidRPr="00B074C0">
        <w:rPr>
          <w:rFonts w:ascii="Barlow" w:hAnsi="Barlow"/>
          <w:b/>
          <w:sz w:val="20"/>
          <w:szCs w:val="20"/>
          <w:u w:val="single"/>
          <w:lang w:val="en-GB"/>
        </w:rPr>
        <w:t>Cities@Heart</w:t>
      </w:r>
      <w:proofErr w:type="spellEnd"/>
      <w:r w:rsidRPr="00B074C0">
        <w:rPr>
          <w:rFonts w:ascii="Barlow" w:hAnsi="Barlow"/>
          <w:b/>
          <w:sz w:val="20"/>
          <w:szCs w:val="20"/>
          <w:u w:val="single"/>
          <w:lang w:val="en-GB"/>
        </w:rPr>
        <w:t xml:space="preserve"> </w:t>
      </w:r>
    </w:p>
    <w:p w14:paraId="00F15F1F" w14:textId="77777777" w:rsidR="00E01FBD" w:rsidRPr="000B769A" w:rsidRDefault="000B769A" w:rsidP="00DE6610">
      <w:pPr>
        <w:spacing w:before="120" w:after="120" w:line="280" w:lineRule="atLeast"/>
        <w:contextualSpacing/>
        <w:jc w:val="center"/>
        <w:rPr>
          <w:rFonts w:ascii="Barlow" w:hAnsi="Barlow"/>
          <w:sz w:val="20"/>
          <w:szCs w:val="20"/>
          <w:u w:val="single"/>
          <w:lang w:val="en-GB"/>
        </w:rPr>
      </w:pPr>
      <w:r>
        <w:rPr>
          <w:rFonts w:ascii="Barlow" w:hAnsi="Barlow"/>
          <w:sz w:val="20"/>
          <w:szCs w:val="20"/>
          <w:u w:val="single"/>
          <w:lang w:val="en-GB"/>
        </w:rPr>
        <w:t xml:space="preserve">URBACT IV </w:t>
      </w:r>
      <w:r w:rsidR="00E01FBD" w:rsidRPr="000B769A">
        <w:rPr>
          <w:rFonts w:ascii="Barlow" w:hAnsi="Barlow"/>
          <w:sz w:val="20"/>
          <w:szCs w:val="20"/>
          <w:u w:val="single"/>
          <w:lang w:val="en-GB"/>
        </w:rPr>
        <w:t>project proposal</w:t>
      </w:r>
    </w:p>
    <w:p w14:paraId="46DACB8E" w14:textId="77777777" w:rsidR="00E01FBD" w:rsidRPr="000B769A" w:rsidRDefault="00E01FBD" w:rsidP="00DE6610">
      <w:pPr>
        <w:spacing w:before="120" w:after="120" w:line="280" w:lineRule="atLeast"/>
        <w:contextualSpacing/>
        <w:jc w:val="center"/>
        <w:rPr>
          <w:rFonts w:ascii="Barlow" w:hAnsi="Barlow"/>
          <w:sz w:val="20"/>
          <w:szCs w:val="20"/>
          <w:u w:val="single"/>
          <w:lang w:val="en-GB"/>
        </w:rPr>
      </w:pPr>
    </w:p>
    <w:p w14:paraId="52BFCF44" w14:textId="37132A9B" w:rsidR="00E01FBD" w:rsidRDefault="00E01FBD" w:rsidP="00DE6610">
      <w:pPr>
        <w:spacing w:before="120" w:after="120" w:line="280" w:lineRule="atLeast"/>
        <w:contextualSpacing/>
        <w:jc w:val="both"/>
        <w:rPr>
          <w:rFonts w:ascii="Barlow" w:hAnsi="Barlow"/>
          <w:b/>
          <w:sz w:val="20"/>
          <w:szCs w:val="20"/>
          <w:lang w:val="en-GB"/>
        </w:rPr>
      </w:pPr>
      <w:r w:rsidRPr="000B769A">
        <w:rPr>
          <w:rFonts w:ascii="Barlow" w:hAnsi="Barlow"/>
          <w:sz w:val="20"/>
          <w:szCs w:val="20"/>
          <w:lang w:val="en-GB"/>
        </w:rPr>
        <w:tab/>
        <w:t xml:space="preserve">Project type: </w:t>
      </w:r>
      <w:r w:rsidR="000B769A" w:rsidRPr="00966574">
        <w:rPr>
          <w:rFonts w:ascii="Barlow" w:hAnsi="Barlow"/>
          <w:b/>
          <w:sz w:val="20"/>
          <w:szCs w:val="20"/>
          <w:lang w:val="en-GB"/>
        </w:rPr>
        <w:t>URBACT IV</w:t>
      </w:r>
      <w:r w:rsidR="00DB178F">
        <w:rPr>
          <w:rFonts w:ascii="Barlow" w:hAnsi="Barlow"/>
          <w:b/>
          <w:sz w:val="20"/>
          <w:szCs w:val="20"/>
          <w:lang w:val="en-GB"/>
        </w:rPr>
        <w:t xml:space="preserve"> – Action Planning Network</w:t>
      </w:r>
    </w:p>
    <w:p w14:paraId="237F505A" w14:textId="44670BBE" w:rsidR="00DB6993" w:rsidRDefault="00DB6993" w:rsidP="00DE6610">
      <w:pPr>
        <w:spacing w:before="120" w:after="120" w:line="280" w:lineRule="atLeast"/>
        <w:contextualSpacing/>
        <w:jc w:val="both"/>
        <w:rPr>
          <w:rFonts w:ascii="Barlow" w:hAnsi="Barlow"/>
          <w:b/>
          <w:sz w:val="20"/>
          <w:szCs w:val="20"/>
          <w:lang w:val="en-GB"/>
        </w:rPr>
      </w:pPr>
      <w:r>
        <w:rPr>
          <w:rFonts w:ascii="Barlow" w:hAnsi="Barlow"/>
          <w:sz w:val="20"/>
          <w:szCs w:val="20"/>
          <w:lang w:val="en-GB"/>
        </w:rPr>
        <w:tab/>
      </w:r>
      <w:r w:rsidRPr="00DB6993">
        <w:rPr>
          <w:rFonts w:ascii="Barlow" w:hAnsi="Barlow"/>
          <w:sz w:val="20"/>
          <w:szCs w:val="20"/>
          <w:lang w:val="en-GB"/>
        </w:rPr>
        <w:t xml:space="preserve">Interreg Specific Objective (ISO) 1: </w:t>
      </w:r>
      <w:r w:rsidRPr="00DB6993">
        <w:rPr>
          <w:rFonts w:ascii="Barlow" w:hAnsi="Barlow"/>
          <w:b/>
          <w:sz w:val="20"/>
          <w:szCs w:val="20"/>
          <w:lang w:val="en-GB"/>
        </w:rPr>
        <w:t>A better cooperation governance</w:t>
      </w:r>
      <w:r w:rsidR="00A91723">
        <w:rPr>
          <w:rFonts w:ascii="Barlow" w:hAnsi="Barlow"/>
          <w:b/>
          <w:sz w:val="20"/>
          <w:szCs w:val="20"/>
          <w:lang w:val="en-GB"/>
        </w:rPr>
        <w:t xml:space="preserve"> for city centres</w:t>
      </w:r>
    </w:p>
    <w:p w14:paraId="6EB27D97" w14:textId="7C5B1020" w:rsidR="00773F4B" w:rsidRPr="00773F4B" w:rsidRDefault="00DB6993" w:rsidP="00E5742E">
      <w:pPr>
        <w:spacing w:before="120" w:after="120" w:line="280" w:lineRule="atLeast"/>
        <w:ind w:firstLine="705"/>
        <w:contextualSpacing/>
        <w:jc w:val="both"/>
        <w:rPr>
          <w:rFonts w:ascii="Barlow" w:hAnsi="Barlow"/>
          <w:bCs/>
          <w:sz w:val="20"/>
          <w:szCs w:val="20"/>
          <w:highlight w:val="yellow"/>
          <w:lang w:val="en-GB"/>
        </w:rPr>
      </w:pPr>
      <w:r w:rsidRPr="00860183">
        <w:rPr>
          <w:rFonts w:ascii="Barlow" w:hAnsi="Barlow"/>
          <w:sz w:val="20"/>
          <w:szCs w:val="20"/>
          <w:lang w:val="en-US"/>
        </w:rPr>
        <w:t>Pro</w:t>
      </w:r>
      <w:r w:rsidR="009E2C3D" w:rsidRPr="00860183">
        <w:rPr>
          <w:rFonts w:ascii="Barlow" w:hAnsi="Barlow"/>
          <w:sz w:val="20"/>
          <w:szCs w:val="20"/>
          <w:lang w:val="en-US"/>
        </w:rPr>
        <w:t>posed pro</w:t>
      </w:r>
      <w:r w:rsidRPr="00860183">
        <w:rPr>
          <w:rFonts w:ascii="Barlow" w:hAnsi="Barlow"/>
          <w:sz w:val="20"/>
          <w:szCs w:val="20"/>
          <w:lang w:val="en-US"/>
        </w:rPr>
        <w:t xml:space="preserve">ject </w:t>
      </w:r>
      <w:proofErr w:type="gramStart"/>
      <w:r w:rsidRPr="00860183">
        <w:rPr>
          <w:rFonts w:ascii="Barlow" w:hAnsi="Barlow"/>
          <w:sz w:val="20"/>
          <w:szCs w:val="20"/>
          <w:lang w:val="en-US"/>
        </w:rPr>
        <w:t>name :</w:t>
      </w:r>
      <w:proofErr w:type="gramEnd"/>
      <w:r w:rsidRPr="00860183">
        <w:rPr>
          <w:rFonts w:ascii="Barlow" w:hAnsi="Barlow"/>
          <w:sz w:val="20"/>
          <w:szCs w:val="20"/>
          <w:lang w:val="en-US"/>
        </w:rPr>
        <w:t xml:space="preserve"> </w:t>
      </w:r>
      <w:proofErr w:type="spellStart"/>
      <w:r w:rsidR="00E5742E" w:rsidRPr="00860183">
        <w:rPr>
          <w:rFonts w:ascii="Barlow" w:hAnsi="Barlow"/>
          <w:b/>
          <w:sz w:val="20"/>
          <w:szCs w:val="20"/>
          <w:lang w:val="en-US"/>
        </w:rPr>
        <w:t>Cities@Heart</w:t>
      </w:r>
      <w:proofErr w:type="spellEnd"/>
    </w:p>
    <w:p w14:paraId="6921AA35" w14:textId="1AF911A1" w:rsidR="00FC36B3" w:rsidRPr="00A23947" w:rsidRDefault="00FC36B3" w:rsidP="00DE6610">
      <w:pPr>
        <w:spacing w:before="120" w:after="120" w:line="280" w:lineRule="atLeast"/>
        <w:ind w:firstLine="705"/>
        <w:contextualSpacing/>
        <w:jc w:val="both"/>
        <w:rPr>
          <w:rFonts w:ascii="Barlow" w:hAnsi="Barlow"/>
          <w:sz w:val="20"/>
          <w:szCs w:val="20"/>
          <w:lang w:val="en-US"/>
        </w:rPr>
      </w:pPr>
      <w:r w:rsidRPr="00A23947">
        <w:rPr>
          <w:rFonts w:ascii="Barlow" w:hAnsi="Barlow"/>
          <w:sz w:val="20"/>
          <w:szCs w:val="20"/>
          <w:lang w:val="en-US"/>
        </w:rPr>
        <w:t>Lead Par</w:t>
      </w:r>
      <w:r w:rsidR="009E2C3D" w:rsidRPr="00A23947">
        <w:rPr>
          <w:rFonts w:ascii="Barlow" w:hAnsi="Barlow"/>
          <w:sz w:val="20"/>
          <w:szCs w:val="20"/>
          <w:lang w:val="en-US"/>
        </w:rPr>
        <w:t>t</w:t>
      </w:r>
      <w:r w:rsidRPr="00A23947">
        <w:rPr>
          <w:rFonts w:ascii="Barlow" w:hAnsi="Barlow"/>
          <w:sz w:val="20"/>
          <w:szCs w:val="20"/>
          <w:lang w:val="en-US"/>
        </w:rPr>
        <w:t xml:space="preserve">ner: </w:t>
      </w:r>
      <w:r w:rsidR="00383702" w:rsidRPr="00A23947">
        <w:rPr>
          <w:rFonts w:ascii="Barlow" w:hAnsi="Barlow"/>
          <w:b/>
          <w:sz w:val="20"/>
          <w:szCs w:val="20"/>
          <w:lang w:val="en-US"/>
        </w:rPr>
        <w:t>Greater Paris Metropolis</w:t>
      </w:r>
      <w:r w:rsidR="00DB6993" w:rsidRPr="00A23947">
        <w:rPr>
          <w:rFonts w:ascii="Barlow" w:hAnsi="Barlow"/>
          <w:sz w:val="20"/>
          <w:szCs w:val="20"/>
          <w:lang w:val="en-US"/>
        </w:rPr>
        <w:t>, France</w:t>
      </w:r>
    </w:p>
    <w:p w14:paraId="4B8BA3CC" w14:textId="77777777" w:rsidR="00E01FBD" w:rsidRPr="00A23947" w:rsidRDefault="00E01FBD" w:rsidP="00DE6610">
      <w:pPr>
        <w:spacing w:before="120" w:after="120" w:line="280" w:lineRule="atLeast"/>
        <w:contextualSpacing/>
        <w:jc w:val="both"/>
        <w:rPr>
          <w:rFonts w:ascii="Barlow" w:hAnsi="Barlow"/>
          <w:sz w:val="20"/>
          <w:szCs w:val="20"/>
          <w:lang w:val="en-US"/>
        </w:rPr>
      </w:pPr>
    </w:p>
    <w:p w14:paraId="3CCE8952" w14:textId="4D0154AA" w:rsidR="00341B57" w:rsidRPr="002E7684" w:rsidRDefault="0060640F" w:rsidP="00094ADE">
      <w:pPr>
        <w:pStyle w:val="Paragraphedeliste"/>
        <w:numPr>
          <w:ilvl w:val="0"/>
          <w:numId w:val="10"/>
        </w:numPr>
        <w:spacing w:before="120" w:after="120" w:line="280" w:lineRule="atLeast"/>
        <w:jc w:val="both"/>
        <w:rPr>
          <w:rFonts w:ascii="Barlow" w:hAnsi="Barlow"/>
          <w:b/>
          <w:bCs/>
          <w:sz w:val="20"/>
          <w:szCs w:val="20"/>
          <w:u w:val="single"/>
          <w:lang w:val="en-GB"/>
        </w:rPr>
      </w:pPr>
      <w:r w:rsidRPr="002E7684">
        <w:rPr>
          <w:rFonts w:ascii="Barlow" w:hAnsi="Barlow"/>
          <w:b/>
          <w:bCs/>
          <w:sz w:val="20"/>
          <w:szCs w:val="20"/>
          <w:u w:val="single"/>
          <w:lang w:val="en-GB"/>
        </w:rPr>
        <w:t>Lead Partner: Greater Paris Metropolis</w:t>
      </w:r>
    </w:p>
    <w:p w14:paraId="1EFDD7B5" w14:textId="1B56EE90" w:rsidR="00341B57" w:rsidRPr="004B0C64" w:rsidRDefault="00341B57" w:rsidP="00094ADE">
      <w:pPr>
        <w:spacing w:before="120" w:after="120" w:line="280" w:lineRule="atLeast"/>
        <w:rPr>
          <w:rFonts w:ascii="Barlow" w:hAnsi="Barlow"/>
          <w:sz w:val="18"/>
          <w:szCs w:val="18"/>
          <w:lang w:val="en-HK" w:eastAsia="en-US"/>
        </w:rPr>
      </w:pPr>
      <w:r w:rsidRPr="004B0C64">
        <w:rPr>
          <w:rFonts w:ascii="Barlow" w:hAnsi="Barlow"/>
          <w:sz w:val="20"/>
          <w:szCs w:val="20"/>
          <w:lang w:val="en-HK"/>
        </w:rPr>
        <w:t xml:space="preserve">The </w:t>
      </w:r>
      <w:hyperlink r:id="rId8" w:history="1">
        <w:r w:rsidRPr="00C8660C">
          <w:rPr>
            <w:rStyle w:val="Lienhypertexte"/>
            <w:rFonts w:ascii="Barlow" w:hAnsi="Barlow"/>
            <w:sz w:val="20"/>
            <w:szCs w:val="20"/>
            <w:lang w:val="en-HK"/>
          </w:rPr>
          <w:t>Greater Paris Metropolis</w:t>
        </w:r>
      </w:hyperlink>
      <w:r w:rsidRPr="004B0C64">
        <w:rPr>
          <w:rFonts w:ascii="Barlow" w:hAnsi="Barlow"/>
          <w:sz w:val="20"/>
          <w:szCs w:val="20"/>
          <w:lang w:val="en-HK"/>
        </w:rPr>
        <w:t xml:space="preserve"> is a </w:t>
      </w:r>
      <w:r w:rsidR="00B074C0">
        <w:rPr>
          <w:rFonts w:ascii="Barlow" w:hAnsi="Barlow"/>
          <w:sz w:val="20"/>
          <w:szCs w:val="20"/>
          <w:lang w:val="en-HK"/>
        </w:rPr>
        <w:t xml:space="preserve">French </w:t>
      </w:r>
      <w:r w:rsidRPr="00EB5F7D">
        <w:rPr>
          <w:rFonts w:ascii="Barlow" w:hAnsi="Barlow"/>
          <w:b/>
          <w:bCs/>
          <w:sz w:val="20"/>
          <w:szCs w:val="20"/>
          <w:lang w:val="en-HK"/>
        </w:rPr>
        <w:t>dense and urban inter-municipal establishment</w:t>
      </w:r>
      <w:r w:rsidRPr="004B0C64">
        <w:rPr>
          <w:rFonts w:ascii="Barlow" w:hAnsi="Barlow"/>
          <w:sz w:val="20"/>
          <w:szCs w:val="20"/>
          <w:lang w:val="en-HK"/>
        </w:rPr>
        <w:t xml:space="preserve"> that unites a total of </w:t>
      </w:r>
      <w:r w:rsidRPr="00EB5F7D">
        <w:rPr>
          <w:rFonts w:ascii="Barlow" w:hAnsi="Barlow"/>
          <w:b/>
          <w:bCs/>
          <w:sz w:val="20"/>
          <w:szCs w:val="20"/>
          <w:lang w:val="en-HK"/>
        </w:rPr>
        <w:t>131 cities</w:t>
      </w:r>
      <w:r w:rsidRPr="004B0C64">
        <w:rPr>
          <w:rFonts w:ascii="Barlow" w:hAnsi="Barlow"/>
          <w:sz w:val="20"/>
          <w:szCs w:val="20"/>
          <w:lang w:val="en-HK"/>
        </w:rPr>
        <w:t xml:space="preserve">, including Paris. </w:t>
      </w:r>
    </w:p>
    <w:p w14:paraId="0B48EC36" w14:textId="77777777" w:rsidR="00341B57" w:rsidRPr="004B0C64" w:rsidRDefault="00341B57" w:rsidP="00094ADE">
      <w:pPr>
        <w:spacing w:before="120" w:after="120" w:line="280" w:lineRule="atLeast"/>
        <w:rPr>
          <w:rFonts w:ascii="Barlow" w:hAnsi="Barlow"/>
          <w:sz w:val="20"/>
          <w:szCs w:val="20"/>
          <w:lang w:val="en-HK"/>
        </w:rPr>
      </w:pPr>
      <w:r w:rsidRPr="004B0C64">
        <w:rPr>
          <w:rFonts w:ascii="Barlow" w:hAnsi="Barlow"/>
          <w:sz w:val="20"/>
          <w:szCs w:val="20"/>
          <w:lang w:val="en-HK"/>
        </w:rPr>
        <w:t xml:space="preserve">It spreads a total of </w:t>
      </w:r>
      <w:r w:rsidRPr="00EB5F7D">
        <w:rPr>
          <w:rFonts w:ascii="Barlow" w:hAnsi="Barlow"/>
          <w:b/>
          <w:bCs/>
          <w:sz w:val="20"/>
          <w:szCs w:val="20"/>
          <w:lang w:val="en-HK"/>
        </w:rPr>
        <w:t>814 km²</w:t>
      </w:r>
      <w:r w:rsidRPr="004B0C64">
        <w:rPr>
          <w:rFonts w:ascii="Barlow" w:hAnsi="Barlow"/>
          <w:sz w:val="20"/>
          <w:szCs w:val="20"/>
          <w:lang w:val="en-HK"/>
        </w:rPr>
        <w:t xml:space="preserve"> and hosts a total population of </w:t>
      </w:r>
      <w:r w:rsidRPr="00EB5F7D">
        <w:rPr>
          <w:rFonts w:ascii="Barlow" w:hAnsi="Barlow"/>
          <w:b/>
          <w:bCs/>
          <w:sz w:val="20"/>
          <w:szCs w:val="20"/>
          <w:lang w:val="en-HK"/>
        </w:rPr>
        <w:t>7.2 million inhabitants</w:t>
      </w:r>
      <w:r w:rsidRPr="004B0C64">
        <w:rPr>
          <w:rFonts w:ascii="Barlow" w:hAnsi="Barlow"/>
          <w:sz w:val="20"/>
          <w:szCs w:val="20"/>
          <w:lang w:val="en-HK"/>
        </w:rPr>
        <w:t xml:space="preserve">, of which concentrate in the city of Paris and the remaining 70% distributes among the other 130 municipalities. </w:t>
      </w:r>
    </w:p>
    <w:p w14:paraId="079A829A" w14:textId="77777777" w:rsidR="00341B57" w:rsidRPr="004B0C64" w:rsidRDefault="00341B57" w:rsidP="00094ADE">
      <w:pPr>
        <w:spacing w:before="120" w:after="120" w:line="280" w:lineRule="atLeast"/>
        <w:rPr>
          <w:rFonts w:ascii="Barlow" w:hAnsi="Barlow"/>
          <w:sz w:val="20"/>
          <w:szCs w:val="20"/>
          <w:lang w:val="en-HK"/>
        </w:rPr>
      </w:pPr>
      <w:r w:rsidRPr="004B0C64">
        <w:rPr>
          <w:rFonts w:ascii="Barlow" w:hAnsi="Barlow"/>
          <w:sz w:val="20"/>
          <w:szCs w:val="20"/>
          <w:lang w:val="en-HK"/>
        </w:rPr>
        <w:t xml:space="preserve">As an institution, the Greater Paris Metropolis was officially created the </w:t>
      </w:r>
      <w:r w:rsidRPr="00D77CEA">
        <w:rPr>
          <w:rFonts w:ascii="Barlow" w:hAnsi="Barlow"/>
          <w:b/>
          <w:bCs/>
          <w:sz w:val="20"/>
          <w:szCs w:val="20"/>
          <w:lang w:val="en-HK"/>
        </w:rPr>
        <w:t>1st of January 2016</w:t>
      </w:r>
      <w:r w:rsidRPr="004B0C64">
        <w:rPr>
          <w:rFonts w:ascii="Barlow" w:hAnsi="Barlow"/>
          <w:sz w:val="20"/>
          <w:szCs w:val="20"/>
          <w:lang w:val="en-HK"/>
        </w:rPr>
        <w:t xml:space="preserve">, </w:t>
      </w:r>
      <w:proofErr w:type="gramStart"/>
      <w:r w:rsidRPr="004B0C64">
        <w:rPr>
          <w:rFonts w:ascii="Barlow" w:hAnsi="Barlow"/>
          <w:sz w:val="20"/>
          <w:szCs w:val="20"/>
          <w:lang w:val="en-HK"/>
        </w:rPr>
        <w:t>as a result of</w:t>
      </w:r>
      <w:proofErr w:type="gramEnd"/>
      <w:r w:rsidRPr="004B0C64">
        <w:rPr>
          <w:rFonts w:ascii="Barlow" w:hAnsi="Barlow"/>
          <w:sz w:val="20"/>
          <w:szCs w:val="20"/>
          <w:lang w:val="en-HK"/>
        </w:rPr>
        <w:t xml:space="preserve"> the approval of two laws voted in 2014 which granted it a new legal status. The Greater Paris Metropolis currently holds competences in five main areas: </w:t>
      </w:r>
    </w:p>
    <w:p w14:paraId="4D90FD26" w14:textId="77777777" w:rsidR="00341B57" w:rsidRPr="00D77CEA" w:rsidRDefault="00341B57" w:rsidP="00094ADE">
      <w:pPr>
        <w:pStyle w:val="Paragraphedeliste"/>
        <w:numPr>
          <w:ilvl w:val="0"/>
          <w:numId w:val="9"/>
        </w:numPr>
        <w:spacing w:before="120" w:after="120" w:line="280" w:lineRule="atLeast"/>
        <w:rPr>
          <w:rFonts w:ascii="Barlow" w:hAnsi="Barlow"/>
          <w:b/>
          <w:bCs/>
          <w:sz w:val="20"/>
          <w:szCs w:val="20"/>
          <w:lang w:val="en-HK"/>
        </w:rPr>
      </w:pPr>
      <w:r w:rsidRPr="00D77CEA">
        <w:rPr>
          <w:rFonts w:ascii="Barlow" w:hAnsi="Barlow"/>
          <w:b/>
          <w:bCs/>
          <w:sz w:val="20"/>
          <w:szCs w:val="20"/>
          <w:lang w:val="en-HK"/>
        </w:rPr>
        <w:t>energy policy and climate change action,</w:t>
      </w:r>
    </w:p>
    <w:p w14:paraId="4E4C8547" w14:textId="77777777" w:rsidR="00341B57" w:rsidRPr="00D77CEA" w:rsidRDefault="00341B57" w:rsidP="00094ADE">
      <w:pPr>
        <w:pStyle w:val="Paragraphedeliste"/>
        <w:numPr>
          <w:ilvl w:val="0"/>
          <w:numId w:val="9"/>
        </w:numPr>
        <w:spacing w:before="120" w:after="120" w:line="280" w:lineRule="atLeast"/>
        <w:rPr>
          <w:rFonts w:ascii="Barlow" w:hAnsi="Barlow"/>
          <w:b/>
          <w:bCs/>
          <w:sz w:val="20"/>
          <w:szCs w:val="20"/>
          <w:lang w:val="en-HK"/>
        </w:rPr>
      </w:pPr>
      <w:r w:rsidRPr="00D77CEA">
        <w:rPr>
          <w:rFonts w:ascii="Barlow" w:hAnsi="Barlow"/>
          <w:b/>
          <w:bCs/>
          <w:sz w:val="20"/>
          <w:szCs w:val="20"/>
          <w:lang w:val="en-HK"/>
        </w:rPr>
        <w:t xml:space="preserve">management of aquatic environment and flood prevention, </w:t>
      </w:r>
    </w:p>
    <w:p w14:paraId="68A1D2E7" w14:textId="77777777" w:rsidR="00341B57" w:rsidRPr="00D77CEA" w:rsidRDefault="00341B57" w:rsidP="00094ADE">
      <w:pPr>
        <w:pStyle w:val="Paragraphedeliste"/>
        <w:numPr>
          <w:ilvl w:val="0"/>
          <w:numId w:val="9"/>
        </w:numPr>
        <w:spacing w:before="120" w:after="120" w:line="280" w:lineRule="atLeast"/>
        <w:rPr>
          <w:rFonts w:ascii="Barlow" w:hAnsi="Barlow"/>
          <w:b/>
          <w:bCs/>
          <w:sz w:val="20"/>
          <w:szCs w:val="20"/>
          <w:lang w:val="en-HK"/>
        </w:rPr>
      </w:pPr>
      <w:r w:rsidRPr="00D77CEA">
        <w:rPr>
          <w:rFonts w:ascii="Barlow" w:hAnsi="Barlow"/>
          <w:b/>
          <w:bCs/>
          <w:sz w:val="20"/>
          <w:szCs w:val="20"/>
          <w:lang w:val="en-HK"/>
        </w:rPr>
        <w:t xml:space="preserve">land use planning, </w:t>
      </w:r>
    </w:p>
    <w:p w14:paraId="2324C727" w14:textId="77777777" w:rsidR="00341B57" w:rsidRPr="00D77CEA" w:rsidRDefault="00341B57" w:rsidP="00094ADE">
      <w:pPr>
        <w:pStyle w:val="Paragraphedeliste"/>
        <w:numPr>
          <w:ilvl w:val="0"/>
          <w:numId w:val="9"/>
        </w:numPr>
        <w:spacing w:before="120" w:after="120" w:line="280" w:lineRule="atLeast"/>
        <w:rPr>
          <w:rFonts w:ascii="Barlow" w:hAnsi="Barlow"/>
          <w:b/>
          <w:bCs/>
          <w:sz w:val="20"/>
          <w:szCs w:val="20"/>
          <w:lang w:val="en-HK"/>
        </w:rPr>
      </w:pPr>
      <w:r w:rsidRPr="00D77CEA">
        <w:rPr>
          <w:rFonts w:ascii="Barlow" w:hAnsi="Barlow"/>
          <w:b/>
          <w:bCs/>
          <w:sz w:val="20"/>
          <w:szCs w:val="20"/>
          <w:lang w:val="en-HK"/>
        </w:rPr>
        <w:t xml:space="preserve">economic, </w:t>
      </w:r>
      <w:proofErr w:type="gramStart"/>
      <w:r w:rsidRPr="00D77CEA">
        <w:rPr>
          <w:rFonts w:ascii="Barlow" w:hAnsi="Barlow"/>
          <w:b/>
          <w:bCs/>
          <w:sz w:val="20"/>
          <w:szCs w:val="20"/>
          <w:lang w:val="en-HK"/>
        </w:rPr>
        <w:t>social</w:t>
      </w:r>
      <w:proofErr w:type="gramEnd"/>
      <w:r w:rsidRPr="00D77CEA">
        <w:rPr>
          <w:rFonts w:ascii="Barlow" w:hAnsi="Barlow"/>
          <w:b/>
          <w:bCs/>
          <w:sz w:val="20"/>
          <w:szCs w:val="20"/>
          <w:lang w:val="en-HK"/>
        </w:rPr>
        <w:t xml:space="preserve"> and cultural development</w:t>
      </w:r>
    </w:p>
    <w:p w14:paraId="54F8F7D6" w14:textId="77777777" w:rsidR="00341B57" w:rsidRPr="00D77CEA" w:rsidRDefault="00341B57" w:rsidP="00094ADE">
      <w:pPr>
        <w:pStyle w:val="Paragraphedeliste"/>
        <w:numPr>
          <w:ilvl w:val="0"/>
          <w:numId w:val="9"/>
        </w:numPr>
        <w:spacing w:before="120" w:after="120" w:line="280" w:lineRule="atLeast"/>
        <w:rPr>
          <w:rFonts w:ascii="Barlow" w:hAnsi="Barlow"/>
          <w:b/>
          <w:bCs/>
          <w:sz w:val="20"/>
          <w:szCs w:val="20"/>
          <w:lang w:val="en-HK"/>
        </w:rPr>
      </w:pPr>
      <w:r w:rsidRPr="00D77CEA">
        <w:rPr>
          <w:rFonts w:ascii="Barlow" w:hAnsi="Barlow"/>
          <w:b/>
          <w:bCs/>
          <w:sz w:val="20"/>
          <w:szCs w:val="20"/>
          <w:lang w:val="en-HK"/>
        </w:rPr>
        <w:t xml:space="preserve">planning, and local housing policy. </w:t>
      </w:r>
    </w:p>
    <w:p w14:paraId="3FF07C43" w14:textId="5237E712" w:rsidR="00D77CEA" w:rsidRDefault="0060640F" w:rsidP="00094ADE">
      <w:pPr>
        <w:spacing w:before="120" w:after="120" w:line="280" w:lineRule="atLeast"/>
        <w:rPr>
          <w:rFonts w:ascii="Barlow" w:hAnsi="Barlow"/>
          <w:sz w:val="20"/>
          <w:szCs w:val="20"/>
          <w:lang w:val="en-HK"/>
        </w:rPr>
      </w:pPr>
      <w:r>
        <w:rPr>
          <w:rFonts w:ascii="Barlow" w:hAnsi="Barlow"/>
          <w:sz w:val="20"/>
          <w:szCs w:val="20"/>
          <w:lang w:val="en-HK"/>
        </w:rPr>
        <w:t xml:space="preserve">The </w:t>
      </w:r>
      <w:r w:rsidR="00341B57" w:rsidRPr="004B0C64">
        <w:rPr>
          <w:rFonts w:ascii="Barlow" w:hAnsi="Barlow"/>
          <w:sz w:val="20"/>
          <w:szCs w:val="20"/>
          <w:lang w:val="en-HK"/>
        </w:rPr>
        <w:t xml:space="preserve">Greater Paris Metropolis’ governance stems from its different organs, namely the Metropolitan Council, its main governing body, which is made up of 208 metropolitan councillors representing the 131 municipalities that are part of the </w:t>
      </w:r>
      <w:r w:rsidR="00D77CEA">
        <w:rPr>
          <w:rFonts w:ascii="Barlow" w:hAnsi="Barlow"/>
          <w:sz w:val="20"/>
          <w:szCs w:val="20"/>
          <w:lang w:val="en-HK"/>
        </w:rPr>
        <w:t>M</w:t>
      </w:r>
      <w:r w:rsidR="00341B57" w:rsidRPr="004B0C64">
        <w:rPr>
          <w:rFonts w:ascii="Barlow" w:hAnsi="Barlow"/>
          <w:sz w:val="20"/>
          <w:szCs w:val="20"/>
          <w:lang w:val="en-HK"/>
        </w:rPr>
        <w:t xml:space="preserve">etropolitan area. </w:t>
      </w:r>
    </w:p>
    <w:p w14:paraId="5DF0B368" w14:textId="6C122C15" w:rsidR="00EB5F7D" w:rsidRDefault="00341B57" w:rsidP="00094ADE">
      <w:pPr>
        <w:spacing w:before="120" w:after="120" w:line="280" w:lineRule="atLeast"/>
        <w:rPr>
          <w:rFonts w:ascii="Barlow" w:hAnsi="Barlow"/>
          <w:sz w:val="20"/>
          <w:szCs w:val="20"/>
          <w:lang w:val="en-HK"/>
        </w:rPr>
      </w:pPr>
      <w:r w:rsidRPr="004B0C64">
        <w:rPr>
          <w:rFonts w:ascii="Barlow" w:hAnsi="Barlow"/>
          <w:sz w:val="20"/>
          <w:szCs w:val="20"/>
          <w:lang w:val="en-HK"/>
        </w:rPr>
        <w:t xml:space="preserve">The Metropolitan Bureau, elected by the Metropolitan Council and led by the </w:t>
      </w:r>
      <w:r w:rsidR="00D77CEA">
        <w:rPr>
          <w:rFonts w:ascii="Barlow" w:hAnsi="Barlow"/>
          <w:sz w:val="20"/>
          <w:szCs w:val="20"/>
          <w:lang w:val="en-HK"/>
        </w:rPr>
        <w:t>M</w:t>
      </w:r>
      <w:r w:rsidRPr="004B0C64">
        <w:rPr>
          <w:rFonts w:ascii="Barlow" w:hAnsi="Barlow"/>
          <w:sz w:val="20"/>
          <w:szCs w:val="20"/>
          <w:lang w:val="en-HK"/>
        </w:rPr>
        <w:t xml:space="preserve">etropolis’ </w:t>
      </w:r>
      <w:r w:rsidR="00D77CEA">
        <w:rPr>
          <w:rFonts w:ascii="Barlow" w:hAnsi="Barlow"/>
          <w:sz w:val="20"/>
          <w:szCs w:val="20"/>
          <w:lang w:val="en-HK"/>
        </w:rPr>
        <w:t>P</w:t>
      </w:r>
      <w:r w:rsidRPr="004B0C64">
        <w:rPr>
          <w:rFonts w:ascii="Barlow" w:hAnsi="Barlow"/>
          <w:sz w:val="20"/>
          <w:szCs w:val="20"/>
          <w:lang w:val="en-HK"/>
        </w:rPr>
        <w:t>resident, oversees the organization’s political strategy, examines the agenda and the draft deliberations to be submitted to vote to the Metropolitan Council.</w:t>
      </w:r>
    </w:p>
    <w:p w14:paraId="036981DB" w14:textId="77777777" w:rsidR="00EB5F7D" w:rsidRDefault="00EB5F7D" w:rsidP="00EB5F7D">
      <w:pPr>
        <w:rPr>
          <w:rFonts w:ascii="Barlow" w:hAnsi="Barlow"/>
          <w:sz w:val="20"/>
          <w:szCs w:val="20"/>
          <w:lang w:val="en-HK"/>
        </w:rPr>
      </w:pPr>
    </w:p>
    <w:p w14:paraId="7EC58DD3" w14:textId="76A9347B" w:rsidR="00D77CEA" w:rsidRDefault="00EE31C6" w:rsidP="00EB5F7D">
      <w:pPr>
        <w:rPr>
          <w:rFonts w:ascii="Barlow" w:hAnsi="Barlow"/>
          <w:sz w:val="20"/>
          <w:szCs w:val="20"/>
          <w:lang w:val="en-HK"/>
        </w:rPr>
      </w:pPr>
      <w:proofErr w:type="gramStart"/>
      <w:r>
        <w:rPr>
          <w:rFonts w:ascii="Barlow" w:hAnsi="Barlow"/>
          <w:sz w:val="20"/>
          <w:szCs w:val="20"/>
          <w:lang w:val="en-HK"/>
        </w:rPr>
        <w:t>Contacts :</w:t>
      </w:r>
      <w:proofErr w:type="gramEnd"/>
      <w:r>
        <w:rPr>
          <w:rFonts w:ascii="Barlow" w:hAnsi="Barlow"/>
          <w:sz w:val="20"/>
          <w:szCs w:val="20"/>
          <w:lang w:val="en-HK"/>
        </w:rPr>
        <w:t xml:space="preserve"> </w:t>
      </w:r>
    </w:p>
    <w:p w14:paraId="544F37C3" w14:textId="7F00D248" w:rsidR="00EE31C6" w:rsidRDefault="00EE31C6" w:rsidP="00EE31C6">
      <w:pPr>
        <w:pStyle w:val="Paragraphedeliste"/>
        <w:numPr>
          <w:ilvl w:val="0"/>
          <w:numId w:val="8"/>
        </w:numPr>
        <w:rPr>
          <w:rFonts w:ascii="Barlow" w:hAnsi="Barlow"/>
          <w:sz w:val="20"/>
          <w:szCs w:val="20"/>
          <w:lang w:val="en-HK"/>
        </w:rPr>
      </w:pPr>
      <w:r>
        <w:rPr>
          <w:rFonts w:ascii="Barlow" w:hAnsi="Barlow"/>
          <w:sz w:val="20"/>
          <w:szCs w:val="20"/>
          <w:lang w:val="en-HK"/>
        </w:rPr>
        <w:t>Léonie YANG</w:t>
      </w:r>
      <w:r w:rsidR="00FF00F5">
        <w:rPr>
          <w:rFonts w:ascii="Barlow" w:hAnsi="Barlow"/>
          <w:sz w:val="20"/>
          <w:szCs w:val="20"/>
          <w:lang w:val="en-HK"/>
        </w:rPr>
        <w:t xml:space="preserve"> – URBACT Coordinator / Greater </w:t>
      </w:r>
      <w:proofErr w:type="gramStart"/>
      <w:r w:rsidR="00FF00F5">
        <w:rPr>
          <w:rFonts w:ascii="Barlow" w:hAnsi="Barlow"/>
          <w:sz w:val="20"/>
          <w:szCs w:val="20"/>
          <w:lang w:val="en-HK"/>
        </w:rPr>
        <w:t>Metropolis</w:t>
      </w:r>
      <w:r w:rsidR="00FB7478">
        <w:rPr>
          <w:rFonts w:ascii="Barlow" w:hAnsi="Barlow"/>
          <w:sz w:val="20"/>
          <w:szCs w:val="20"/>
          <w:lang w:val="en-HK"/>
        </w:rPr>
        <w:t xml:space="preserve"> </w:t>
      </w:r>
      <w:r w:rsidR="00D71711">
        <w:rPr>
          <w:rFonts w:ascii="Barlow" w:hAnsi="Barlow"/>
          <w:sz w:val="20"/>
          <w:szCs w:val="20"/>
          <w:lang w:val="en-HK"/>
        </w:rPr>
        <w:t>:</w:t>
      </w:r>
      <w:proofErr w:type="gramEnd"/>
      <w:r w:rsidR="00D71711">
        <w:rPr>
          <w:rFonts w:ascii="Barlow" w:hAnsi="Barlow"/>
          <w:sz w:val="20"/>
          <w:szCs w:val="20"/>
          <w:lang w:val="en-HK"/>
        </w:rPr>
        <w:t xml:space="preserve"> </w:t>
      </w:r>
      <w:hyperlink r:id="rId9" w:history="1">
        <w:r w:rsidR="00D71711" w:rsidRPr="00425511">
          <w:rPr>
            <w:rStyle w:val="Lienhypertexte"/>
            <w:rFonts w:ascii="Barlow" w:hAnsi="Barlow"/>
            <w:sz w:val="20"/>
            <w:szCs w:val="20"/>
            <w:lang w:val="en-HK"/>
          </w:rPr>
          <w:t>leonie.yang@metropolegrandparis.fr</w:t>
        </w:r>
      </w:hyperlink>
      <w:r w:rsidR="00D71711">
        <w:rPr>
          <w:rFonts w:ascii="Barlow" w:hAnsi="Barlow"/>
          <w:sz w:val="20"/>
          <w:szCs w:val="20"/>
          <w:lang w:val="en-HK"/>
        </w:rPr>
        <w:t xml:space="preserve"> </w:t>
      </w:r>
    </w:p>
    <w:p w14:paraId="44C99F42" w14:textId="2D2A6273" w:rsidR="00EE31C6" w:rsidRDefault="00EE31C6" w:rsidP="00EE31C6">
      <w:pPr>
        <w:pStyle w:val="Paragraphedeliste"/>
        <w:numPr>
          <w:ilvl w:val="0"/>
          <w:numId w:val="8"/>
        </w:numPr>
        <w:rPr>
          <w:rFonts w:ascii="Barlow" w:hAnsi="Barlow"/>
          <w:sz w:val="20"/>
          <w:szCs w:val="20"/>
          <w:lang w:val="en-HK"/>
        </w:rPr>
      </w:pPr>
      <w:r>
        <w:rPr>
          <w:rFonts w:ascii="Barlow" w:hAnsi="Barlow"/>
          <w:sz w:val="20"/>
          <w:szCs w:val="20"/>
          <w:lang w:val="en-HK"/>
        </w:rPr>
        <w:t xml:space="preserve">Rémy MARCIN </w:t>
      </w:r>
      <w:r w:rsidR="00F70DC1">
        <w:rPr>
          <w:rFonts w:ascii="Barlow" w:hAnsi="Barlow"/>
          <w:sz w:val="20"/>
          <w:szCs w:val="20"/>
          <w:lang w:val="en-HK"/>
        </w:rPr>
        <w:t>–</w:t>
      </w:r>
      <w:r w:rsidR="00690E27">
        <w:rPr>
          <w:rFonts w:ascii="Barlow" w:hAnsi="Barlow"/>
          <w:sz w:val="20"/>
          <w:szCs w:val="20"/>
          <w:lang w:val="en-HK"/>
        </w:rPr>
        <w:t xml:space="preserve"> </w:t>
      </w:r>
      <w:r w:rsidR="00F70DC1">
        <w:rPr>
          <w:rFonts w:ascii="Barlow" w:hAnsi="Barlow"/>
          <w:sz w:val="20"/>
          <w:szCs w:val="20"/>
          <w:lang w:val="en-HK"/>
        </w:rPr>
        <w:t xml:space="preserve">European Affairs and Institutional Relations </w:t>
      </w:r>
      <w:r w:rsidR="00FF00F5">
        <w:rPr>
          <w:rFonts w:ascii="Barlow" w:hAnsi="Barlow"/>
          <w:sz w:val="20"/>
          <w:szCs w:val="20"/>
          <w:lang w:val="en-HK"/>
        </w:rPr>
        <w:t xml:space="preserve">/ Greater Paris </w:t>
      </w:r>
      <w:proofErr w:type="gramStart"/>
      <w:r w:rsidR="00FF00F5">
        <w:rPr>
          <w:rFonts w:ascii="Barlow" w:hAnsi="Barlow"/>
          <w:sz w:val="20"/>
          <w:szCs w:val="20"/>
          <w:lang w:val="en-HK"/>
        </w:rPr>
        <w:t>Metropolis</w:t>
      </w:r>
      <w:r w:rsidR="00F70DC1">
        <w:rPr>
          <w:rFonts w:ascii="Barlow" w:hAnsi="Barlow"/>
          <w:sz w:val="20"/>
          <w:szCs w:val="20"/>
          <w:lang w:val="en-HK"/>
        </w:rPr>
        <w:t xml:space="preserve"> </w:t>
      </w:r>
      <w:r w:rsidR="00E9512D">
        <w:rPr>
          <w:rFonts w:ascii="Barlow" w:hAnsi="Barlow"/>
          <w:sz w:val="20"/>
          <w:szCs w:val="20"/>
          <w:lang w:val="en-HK"/>
        </w:rPr>
        <w:t>:</w:t>
      </w:r>
      <w:proofErr w:type="gramEnd"/>
      <w:r w:rsidR="00E9512D">
        <w:rPr>
          <w:rFonts w:ascii="Barlow" w:hAnsi="Barlow"/>
          <w:sz w:val="20"/>
          <w:szCs w:val="20"/>
          <w:lang w:val="en-HK"/>
        </w:rPr>
        <w:t xml:space="preserve"> </w:t>
      </w:r>
      <w:hyperlink r:id="rId10" w:history="1">
        <w:r w:rsidR="00D71711" w:rsidRPr="00425511">
          <w:rPr>
            <w:rStyle w:val="Lienhypertexte"/>
            <w:rFonts w:ascii="Barlow" w:hAnsi="Barlow"/>
            <w:sz w:val="20"/>
            <w:szCs w:val="20"/>
            <w:lang w:val="en-HK"/>
          </w:rPr>
          <w:t>remy.marcin@metropolegrandparis.fr</w:t>
        </w:r>
      </w:hyperlink>
      <w:r w:rsidR="00D71711">
        <w:rPr>
          <w:rFonts w:ascii="Barlow" w:hAnsi="Barlow"/>
          <w:sz w:val="20"/>
          <w:szCs w:val="20"/>
          <w:lang w:val="en-HK"/>
        </w:rPr>
        <w:t xml:space="preserve"> </w:t>
      </w:r>
    </w:p>
    <w:p w14:paraId="6A3E66E4" w14:textId="77777777" w:rsidR="00D77CEA" w:rsidRDefault="00D77CEA" w:rsidP="00EB5F7D">
      <w:pPr>
        <w:rPr>
          <w:rFonts w:ascii="Barlow" w:hAnsi="Barlow"/>
          <w:sz w:val="20"/>
          <w:szCs w:val="20"/>
          <w:lang w:val="en-HK"/>
        </w:rPr>
      </w:pPr>
    </w:p>
    <w:p w14:paraId="47179C34" w14:textId="067675B8" w:rsidR="003142A0" w:rsidRPr="002E7684" w:rsidRDefault="003142A0" w:rsidP="00D77CEA">
      <w:pPr>
        <w:pStyle w:val="Paragraphedeliste"/>
        <w:numPr>
          <w:ilvl w:val="0"/>
          <w:numId w:val="10"/>
        </w:numPr>
        <w:rPr>
          <w:rFonts w:ascii="Barlow" w:hAnsi="Barlow"/>
          <w:b/>
          <w:bCs/>
          <w:sz w:val="20"/>
          <w:szCs w:val="20"/>
          <w:lang w:val="en-HK"/>
        </w:rPr>
      </w:pPr>
      <w:r w:rsidRPr="002E7684">
        <w:rPr>
          <w:rFonts w:ascii="Barlow" w:hAnsi="Barlow"/>
          <w:b/>
          <w:bCs/>
          <w:sz w:val="20"/>
          <w:szCs w:val="20"/>
          <w:u w:val="single"/>
          <w:lang w:val="en-GB"/>
        </w:rPr>
        <w:t>Project proposal</w:t>
      </w:r>
    </w:p>
    <w:p w14:paraId="01185FD8" w14:textId="77777777" w:rsidR="00630D4B" w:rsidRDefault="00FC36B3" w:rsidP="00DE6610">
      <w:pPr>
        <w:spacing w:before="120" w:after="120" w:line="280" w:lineRule="atLeast"/>
        <w:jc w:val="both"/>
        <w:rPr>
          <w:rFonts w:ascii="Barlow" w:hAnsi="Barlow"/>
          <w:sz w:val="20"/>
          <w:szCs w:val="20"/>
          <w:lang w:val="en-GB"/>
        </w:rPr>
      </w:pPr>
      <w:r>
        <w:rPr>
          <w:rFonts w:ascii="Barlow" w:hAnsi="Barlow"/>
          <w:sz w:val="20"/>
          <w:szCs w:val="20"/>
          <w:lang w:val="en-GB"/>
        </w:rPr>
        <w:t xml:space="preserve">In the trouble times the world has lately been experiencing, political decision making at all levels is key to ensure a </w:t>
      </w:r>
      <w:r w:rsidRPr="0014760A">
        <w:rPr>
          <w:rFonts w:ascii="Barlow" w:hAnsi="Barlow"/>
          <w:b/>
          <w:bCs/>
          <w:sz w:val="20"/>
          <w:szCs w:val="20"/>
          <w:lang w:val="en-GB"/>
        </w:rPr>
        <w:t xml:space="preserve">sustainable, </w:t>
      </w:r>
      <w:proofErr w:type="gramStart"/>
      <w:r w:rsidRPr="0014760A">
        <w:rPr>
          <w:rFonts w:ascii="Barlow" w:hAnsi="Barlow"/>
          <w:b/>
          <w:bCs/>
          <w:sz w:val="20"/>
          <w:szCs w:val="20"/>
          <w:lang w:val="en-GB"/>
        </w:rPr>
        <w:t>fair</w:t>
      </w:r>
      <w:proofErr w:type="gramEnd"/>
      <w:r w:rsidRPr="0014760A">
        <w:rPr>
          <w:rFonts w:ascii="Barlow" w:hAnsi="Barlow"/>
          <w:b/>
          <w:bCs/>
          <w:sz w:val="20"/>
          <w:szCs w:val="20"/>
          <w:lang w:val="en-GB"/>
        </w:rPr>
        <w:t xml:space="preserve"> and green future in Europe</w:t>
      </w:r>
      <w:r>
        <w:rPr>
          <w:rFonts w:ascii="Barlow" w:hAnsi="Barlow"/>
          <w:sz w:val="20"/>
          <w:szCs w:val="20"/>
          <w:lang w:val="en-GB"/>
        </w:rPr>
        <w:t xml:space="preserve"> (EU). </w:t>
      </w:r>
      <w:r w:rsidR="00380C92">
        <w:rPr>
          <w:rFonts w:ascii="Barlow" w:hAnsi="Barlow"/>
          <w:sz w:val="20"/>
          <w:szCs w:val="20"/>
          <w:lang w:val="en-GB"/>
        </w:rPr>
        <w:t xml:space="preserve">The pandemic, brutally happening in a context of an overall profound </w:t>
      </w:r>
      <w:r w:rsidR="00380C92" w:rsidRPr="0014760A">
        <w:rPr>
          <w:rFonts w:ascii="Barlow" w:hAnsi="Barlow"/>
          <w:b/>
          <w:bCs/>
          <w:sz w:val="20"/>
          <w:szCs w:val="20"/>
          <w:lang w:val="en-GB"/>
        </w:rPr>
        <w:t>economic crisis</w:t>
      </w:r>
      <w:r w:rsidR="00380C92">
        <w:rPr>
          <w:rFonts w:ascii="Barlow" w:hAnsi="Barlow"/>
          <w:sz w:val="20"/>
          <w:szCs w:val="20"/>
          <w:lang w:val="en-GB"/>
        </w:rPr>
        <w:t xml:space="preserve"> and followed by the </w:t>
      </w:r>
      <w:r w:rsidR="00380C92" w:rsidRPr="0014760A">
        <w:rPr>
          <w:rFonts w:ascii="Barlow" w:hAnsi="Barlow"/>
          <w:b/>
          <w:bCs/>
          <w:sz w:val="20"/>
          <w:szCs w:val="20"/>
          <w:lang w:val="en-GB"/>
        </w:rPr>
        <w:t>war in Ukraine</w:t>
      </w:r>
      <w:r w:rsidR="00A63356">
        <w:rPr>
          <w:rFonts w:ascii="Barlow" w:hAnsi="Barlow"/>
          <w:sz w:val="20"/>
          <w:szCs w:val="20"/>
          <w:lang w:val="en-GB"/>
        </w:rPr>
        <w:t>,</w:t>
      </w:r>
      <w:r w:rsidR="00380C92">
        <w:rPr>
          <w:rFonts w:ascii="Barlow" w:hAnsi="Barlow"/>
          <w:sz w:val="20"/>
          <w:szCs w:val="20"/>
          <w:lang w:val="en-GB"/>
        </w:rPr>
        <w:t xml:space="preserve"> has shown the need for </w:t>
      </w:r>
      <w:r w:rsidR="00380C92" w:rsidRPr="0014760A">
        <w:rPr>
          <w:rFonts w:ascii="Barlow" w:hAnsi="Barlow"/>
          <w:b/>
          <w:bCs/>
          <w:sz w:val="20"/>
          <w:szCs w:val="20"/>
          <w:lang w:val="en-GB"/>
        </w:rPr>
        <w:t xml:space="preserve">efficient, immediate response </w:t>
      </w:r>
      <w:r w:rsidR="00380C92">
        <w:rPr>
          <w:rFonts w:ascii="Barlow" w:hAnsi="Barlow"/>
          <w:sz w:val="20"/>
          <w:szCs w:val="20"/>
          <w:lang w:val="en-GB"/>
        </w:rPr>
        <w:t xml:space="preserve">at all levels and </w:t>
      </w:r>
      <w:r w:rsidR="00D16868">
        <w:rPr>
          <w:rFonts w:ascii="Barlow" w:hAnsi="Barlow"/>
          <w:sz w:val="20"/>
          <w:szCs w:val="20"/>
          <w:lang w:val="en-GB"/>
        </w:rPr>
        <w:t>considering</w:t>
      </w:r>
      <w:r w:rsidR="00380C92">
        <w:rPr>
          <w:rFonts w:ascii="Barlow" w:hAnsi="Barlow"/>
          <w:sz w:val="20"/>
          <w:szCs w:val="20"/>
          <w:lang w:val="en-GB"/>
        </w:rPr>
        <w:t xml:space="preserve"> both now and tomorrow. </w:t>
      </w:r>
    </w:p>
    <w:p w14:paraId="7D9BCD6F" w14:textId="77777777" w:rsidR="00534BE6" w:rsidRDefault="00380C92" w:rsidP="00DE6610">
      <w:pPr>
        <w:spacing w:before="120" w:after="120" w:line="280" w:lineRule="atLeast"/>
        <w:jc w:val="both"/>
        <w:rPr>
          <w:rFonts w:ascii="Barlow" w:hAnsi="Barlow"/>
          <w:sz w:val="20"/>
          <w:szCs w:val="20"/>
          <w:lang w:val="en-GB"/>
        </w:rPr>
      </w:pPr>
      <w:r>
        <w:rPr>
          <w:rFonts w:ascii="Barlow" w:hAnsi="Barlow"/>
          <w:sz w:val="20"/>
          <w:szCs w:val="20"/>
          <w:lang w:val="en-GB"/>
        </w:rPr>
        <w:t xml:space="preserve">To propose accurate and relevant policies, tackling today’s </w:t>
      </w:r>
      <w:r w:rsidR="00D16868">
        <w:rPr>
          <w:rFonts w:ascii="Barlow" w:hAnsi="Barlow"/>
          <w:sz w:val="20"/>
          <w:szCs w:val="20"/>
          <w:lang w:val="en-GB"/>
        </w:rPr>
        <w:t xml:space="preserve">unforeseen </w:t>
      </w:r>
      <w:r>
        <w:rPr>
          <w:rFonts w:ascii="Barlow" w:hAnsi="Barlow"/>
          <w:sz w:val="20"/>
          <w:szCs w:val="20"/>
          <w:lang w:val="en-GB"/>
        </w:rPr>
        <w:t xml:space="preserve">issues but also addressing </w:t>
      </w:r>
      <w:r w:rsidR="00D16868">
        <w:rPr>
          <w:rFonts w:ascii="Barlow" w:hAnsi="Barlow"/>
          <w:sz w:val="20"/>
          <w:szCs w:val="20"/>
          <w:lang w:val="en-GB"/>
        </w:rPr>
        <w:t xml:space="preserve">well-known </w:t>
      </w:r>
      <w:r>
        <w:rPr>
          <w:rFonts w:ascii="Barlow" w:hAnsi="Barlow"/>
          <w:sz w:val="20"/>
          <w:szCs w:val="20"/>
          <w:lang w:val="en-GB"/>
        </w:rPr>
        <w:t>underlying challenges, there is a critical need for</w:t>
      </w:r>
      <w:r w:rsidRPr="00B10624">
        <w:rPr>
          <w:rFonts w:ascii="Barlow" w:hAnsi="Barlow"/>
          <w:b/>
          <w:bCs/>
          <w:sz w:val="20"/>
          <w:szCs w:val="20"/>
          <w:lang w:val="en-GB"/>
        </w:rPr>
        <w:t xml:space="preserve"> tools </w:t>
      </w:r>
      <w:r>
        <w:rPr>
          <w:rFonts w:ascii="Barlow" w:hAnsi="Barlow"/>
          <w:sz w:val="20"/>
          <w:szCs w:val="20"/>
          <w:lang w:val="en-GB"/>
        </w:rPr>
        <w:t xml:space="preserve">to </w:t>
      </w:r>
      <w:r w:rsidR="002D7DD9">
        <w:rPr>
          <w:rFonts w:ascii="Barlow" w:hAnsi="Barlow"/>
          <w:sz w:val="20"/>
          <w:szCs w:val="20"/>
          <w:lang w:val="en-GB"/>
        </w:rPr>
        <w:t xml:space="preserve">lean on </w:t>
      </w:r>
      <w:r w:rsidR="00DE6610">
        <w:rPr>
          <w:rFonts w:ascii="Barlow" w:hAnsi="Barlow"/>
          <w:sz w:val="20"/>
          <w:szCs w:val="20"/>
          <w:lang w:val="en-GB"/>
        </w:rPr>
        <w:t xml:space="preserve">to </w:t>
      </w:r>
      <w:r>
        <w:rPr>
          <w:rFonts w:ascii="Barlow" w:hAnsi="Barlow"/>
          <w:sz w:val="20"/>
          <w:szCs w:val="20"/>
          <w:lang w:val="en-GB"/>
        </w:rPr>
        <w:t xml:space="preserve">take the </w:t>
      </w:r>
      <w:r w:rsidRPr="00B10624">
        <w:rPr>
          <w:rFonts w:ascii="Barlow" w:hAnsi="Barlow"/>
          <w:b/>
          <w:bCs/>
          <w:sz w:val="20"/>
          <w:szCs w:val="20"/>
          <w:lang w:val="en-GB"/>
        </w:rPr>
        <w:t>right decisions</w:t>
      </w:r>
      <w:r>
        <w:rPr>
          <w:rFonts w:ascii="Barlow" w:hAnsi="Barlow"/>
          <w:sz w:val="20"/>
          <w:szCs w:val="20"/>
          <w:lang w:val="en-GB"/>
        </w:rPr>
        <w:t xml:space="preserve"> in </w:t>
      </w:r>
      <w:proofErr w:type="gramStart"/>
      <w:r>
        <w:rPr>
          <w:rFonts w:ascii="Barlow" w:hAnsi="Barlow"/>
          <w:sz w:val="20"/>
          <w:szCs w:val="20"/>
          <w:lang w:val="en-GB"/>
        </w:rPr>
        <w:t xml:space="preserve">the </w:t>
      </w:r>
      <w:r w:rsidR="00534BE6">
        <w:rPr>
          <w:rFonts w:ascii="Barlow" w:hAnsi="Barlow"/>
          <w:sz w:val="20"/>
          <w:szCs w:val="20"/>
          <w:lang w:val="en-GB"/>
        </w:rPr>
        <w:t>:</w:t>
      </w:r>
      <w:proofErr w:type="gramEnd"/>
      <w:r w:rsidR="00534BE6">
        <w:rPr>
          <w:rFonts w:ascii="Barlow" w:hAnsi="Barlow"/>
          <w:sz w:val="20"/>
          <w:szCs w:val="20"/>
          <w:lang w:val="en-GB"/>
        </w:rPr>
        <w:t xml:space="preserve"> </w:t>
      </w:r>
    </w:p>
    <w:p w14:paraId="0FDD5D47" w14:textId="3A502AD6" w:rsidR="00534BE6" w:rsidRDefault="00380C92" w:rsidP="00534BE6">
      <w:pPr>
        <w:pStyle w:val="Paragraphedeliste"/>
        <w:numPr>
          <w:ilvl w:val="0"/>
          <w:numId w:val="8"/>
        </w:numPr>
        <w:spacing w:before="120" w:after="120" w:line="280" w:lineRule="atLeast"/>
        <w:jc w:val="both"/>
        <w:rPr>
          <w:rFonts w:ascii="Barlow" w:hAnsi="Barlow"/>
          <w:sz w:val="20"/>
          <w:szCs w:val="20"/>
          <w:lang w:val="en-GB"/>
        </w:rPr>
      </w:pPr>
      <w:r w:rsidRPr="00534BE6">
        <w:rPr>
          <w:rFonts w:ascii="Barlow" w:hAnsi="Barlow"/>
          <w:b/>
          <w:bCs/>
          <w:sz w:val="20"/>
          <w:szCs w:val="20"/>
          <w:lang w:val="en-GB"/>
        </w:rPr>
        <w:t>short</w:t>
      </w:r>
      <w:r w:rsidR="00D16868" w:rsidRPr="00534BE6">
        <w:rPr>
          <w:rFonts w:ascii="Barlow" w:hAnsi="Barlow"/>
          <w:sz w:val="20"/>
          <w:szCs w:val="20"/>
          <w:lang w:val="en-GB"/>
        </w:rPr>
        <w:t xml:space="preserve"> (</w:t>
      </w:r>
      <w:proofErr w:type="gramStart"/>
      <w:r w:rsidR="00DE6610" w:rsidRPr="00534BE6">
        <w:rPr>
          <w:rFonts w:ascii="Barlow" w:hAnsi="Barlow"/>
          <w:i/>
          <w:sz w:val="20"/>
          <w:szCs w:val="20"/>
          <w:lang w:val="en-GB"/>
        </w:rPr>
        <w:t>i.e.</w:t>
      </w:r>
      <w:proofErr w:type="gramEnd"/>
      <w:r w:rsidR="00DE6610" w:rsidRPr="00534BE6">
        <w:rPr>
          <w:rFonts w:ascii="Barlow" w:hAnsi="Barlow"/>
          <w:i/>
          <w:sz w:val="20"/>
          <w:szCs w:val="20"/>
          <w:lang w:val="en-GB"/>
        </w:rPr>
        <w:t xml:space="preserve"> </w:t>
      </w:r>
      <w:r w:rsidR="00D16868" w:rsidRPr="00534BE6">
        <w:rPr>
          <w:rFonts w:ascii="Barlow" w:hAnsi="Barlow"/>
          <w:i/>
          <w:sz w:val="20"/>
          <w:szCs w:val="20"/>
          <w:lang w:val="en-GB"/>
        </w:rPr>
        <w:t>ensuring a safe and inclusive environment to EU citizens</w:t>
      </w:r>
      <w:r w:rsidR="00DE6610" w:rsidRPr="00534BE6">
        <w:rPr>
          <w:rFonts w:ascii="Barlow" w:hAnsi="Barlow"/>
          <w:i/>
          <w:sz w:val="20"/>
          <w:szCs w:val="20"/>
          <w:lang w:val="en-GB"/>
        </w:rPr>
        <w:t xml:space="preserve">, encouraging local consumption, </w:t>
      </w:r>
      <w:r w:rsidR="009E6059" w:rsidRPr="00534BE6">
        <w:rPr>
          <w:rFonts w:ascii="Barlow" w:hAnsi="Barlow"/>
          <w:i/>
          <w:sz w:val="20"/>
          <w:szCs w:val="20"/>
          <w:lang w:val="en-GB"/>
        </w:rPr>
        <w:t>developing circular economy channels, …</w:t>
      </w:r>
      <w:r w:rsidR="00D16868" w:rsidRPr="00534BE6">
        <w:rPr>
          <w:rFonts w:ascii="Barlow" w:hAnsi="Barlow"/>
          <w:sz w:val="20"/>
          <w:szCs w:val="20"/>
          <w:lang w:val="en-GB"/>
        </w:rPr>
        <w:t>)</w:t>
      </w:r>
    </w:p>
    <w:p w14:paraId="66E6AC6D" w14:textId="77777777" w:rsidR="00534BE6" w:rsidRDefault="00380C92" w:rsidP="00534BE6">
      <w:pPr>
        <w:pStyle w:val="Paragraphedeliste"/>
        <w:numPr>
          <w:ilvl w:val="0"/>
          <w:numId w:val="8"/>
        </w:numPr>
        <w:spacing w:before="120" w:after="120" w:line="280" w:lineRule="atLeast"/>
        <w:jc w:val="both"/>
        <w:rPr>
          <w:rFonts w:ascii="Barlow" w:hAnsi="Barlow"/>
          <w:sz w:val="20"/>
          <w:szCs w:val="20"/>
          <w:lang w:val="en-GB"/>
        </w:rPr>
      </w:pPr>
      <w:r w:rsidRPr="00534BE6">
        <w:rPr>
          <w:rFonts w:ascii="Barlow" w:hAnsi="Barlow"/>
          <w:b/>
          <w:bCs/>
          <w:sz w:val="20"/>
          <w:szCs w:val="20"/>
          <w:lang w:val="en-GB"/>
        </w:rPr>
        <w:t xml:space="preserve">medium </w:t>
      </w:r>
      <w:r w:rsidR="00D16868" w:rsidRPr="00534BE6">
        <w:rPr>
          <w:rFonts w:ascii="Barlow" w:hAnsi="Barlow"/>
          <w:sz w:val="20"/>
          <w:szCs w:val="20"/>
          <w:lang w:val="en-GB"/>
        </w:rPr>
        <w:t>(</w:t>
      </w:r>
      <w:proofErr w:type="gramStart"/>
      <w:r w:rsidR="00DE6610" w:rsidRPr="00534BE6">
        <w:rPr>
          <w:rFonts w:ascii="Barlow" w:hAnsi="Barlow"/>
          <w:sz w:val="20"/>
          <w:szCs w:val="20"/>
          <w:lang w:val="en-GB"/>
        </w:rPr>
        <w:t>i</w:t>
      </w:r>
      <w:r w:rsidR="00DE6610" w:rsidRPr="00534BE6">
        <w:rPr>
          <w:rFonts w:ascii="Barlow" w:hAnsi="Barlow"/>
          <w:i/>
          <w:sz w:val="20"/>
          <w:szCs w:val="20"/>
          <w:lang w:val="en-GB"/>
        </w:rPr>
        <w:t>.e.</w:t>
      </w:r>
      <w:proofErr w:type="gramEnd"/>
      <w:r w:rsidR="00DE6610" w:rsidRPr="00534BE6">
        <w:rPr>
          <w:rFonts w:ascii="Barlow" w:hAnsi="Barlow"/>
          <w:i/>
          <w:sz w:val="20"/>
          <w:szCs w:val="20"/>
          <w:lang w:val="en-GB"/>
        </w:rPr>
        <w:t xml:space="preserve"> creating conditions to transitioning towards a net zero carbon economy</w:t>
      </w:r>
      <w:r w:rsidR="009E6059" w:rsidRPr="00534BE6">
        <w:rPr>
          <w:rFonts w:ascii="Barlow" w:hAnsi="Barlow"/>
          <w:i/>
          <w:sz w:val="20"/>
          <w:szCs w:val="20"/>
          <w:lang w:val="en-GB"/>
        </w:rPr>
        <w:t>, setting up green and efficient public transport</w:t>
      </w:r>
      <w:r w:rsidR="00DE6610" w:rsidRPr="00534BE6">
        <w:rPr>
          <w:rFonts w:ascii="Barlow" w:hAnsi="Barlow"/>
          <w:sz w:val="20"/>
          <w:szCs w:val="20"/>
          <w:lang w:val="en-GB"/>
        </w:rPr>
        <w:t>)</w:t>
      </w:r>
    </w:p>
    <w:p w14:paraId="3A66102C" w14:textId="706B7EA6" w:rsidR="00DE6610" w:rsidRPr="00534BE6" w:rsidRDefault="00380C92" w:rsidP="00534BE6">
      <w:pPr>
        <w:pStyle w:val="Paragraphedeliste"/>
        <w:numPr>
          <w:ilvl w:val="0"/>
          <w:numId w:val="8"/>
        </w:numPr>
        <w:spacing w:before="120" w:after="120" w:line="280" w:lineRule="atLeast"/>
        <w:jc w:val="both"/>
        <w:rPr>
          <w:rFonts w:ascii="Barlow" w:hAnsi="Barlow"/>
          <w:sz w:val="20"/>
          <w:szCs w:val="20"/>
          <w:lang w:val="en-GB"/>
        </w:rPr>
      </w:pPr>
      <w:r w:rsidRPr="00534BE6">
        <w:rPr>
          <w:rFonts w:ascii="Barlow" w:hAnsi="Barlow"/>
          <w:b/>
          <w:bCs/>
          <w:sz w:val="20"/>
          <w:szCs w:val="20"/>
          <w:lang w:val="en-GB"/>
        </w:rPr>
        <w:t>long</w:t>
      </w:r>
      <w:r w:rsidRPr="00534BE6">
        <w:rPr>
          <w:rFonts w:ascii="Barlow" w:hAnsi="Barlow"/>
          <w:sz w:val="20"/>
          <w:szCs w:val="20"/>
          <w:lang w:val="en-GB"/>
        </w:rPr>
        <w:t xml:space="preserve"> </w:t>
      </w:r>
      <w:r w:rsidR="00DE6610" w:rsidRPr="00534BE6">
        <w:rPr>
          <w:rFonts w:ascii="Barlow" w:hAnsi="Barlow"/>
          <w:sz w:val="20"/>
          <w:szCs w:val="20"/>
          <w:lang w:val="en-GB"/>
        </w:rPr>
        <w:t>(</w:t>
      </w:r>
      <w:proofErr w:type="gramStart"/>
      <w:r w:rsidR="00DE6610" w:rsidRPr="00534BE6">
        <w:rPr>
          <w:rFonts w:ascii="Barlow" w:hAnsi="Barlow"/>
          <w:i/>
          <w:sz w:val="20"/>
          <w:szCs w:val="20"/>
          <w:lang w:val="en-GB"/>
        </w:rPr>
        <w:t>i.e.</w:t>
      </w:r>
      <w:proofErr w:type="gramEnd"/>
      <w:r w:rsidR="00DE6610" w:rsidRPr="00534BE6">
        <w:rPr>
          <w:rFonts w:ascii="Barlow" w:hAnsi="Barlow"/>
          <w:i/>
          <w:sz w:val="20"/>
          <w:szCs w:val="20"/>
          <w:lang w:val="en-GB"/>
        </w:rPr>
        <w:t xml:space="preserve"> </w:t>
      </w:r>
      <w:r w:rsidR="009E6059" w:rsidRPr="00534BE6">
        <w:rPr>
          <w:rFonts w:ascii="Barlow" w:hAnsi="Barlow"/>
          <w:i/>
          <w:sz w:val="20"/>
          <w:szCs w:val="20"/>
          <w:lang w:val="en-GB"/>
        </w:rPr>
        <w:t xml:space="preserve">R&amp;D on connected mobility, </w:t>
      </w:r>
      <w:r w:rsidR="00DE6610" w:rsidRPr="00534BE6">
        <w:rPr>
          <w:rFonts w:ascii="Barlow" w:hAnsi="Barlow"/>
          <w:i/>
          <w:sz w:val="20"/>
          <w:szCs w:val="20"/>
          <w:lang w:val="en-GB"/>
        </w:rPr>
        <w:t>getting to a safer, more competitive and smarter Europe</w:t>
      </w:r>
      <w:r w:rsidR="00DE6610" w:rsidRPr="00534BE6">
        <w:rPr>
          <w:rFonts w:ascii="Barlow" w:hAnsi="Barlow"/>
          <w:sz w:val="20"/>
          <w:szCs w:val="20"/>
          <w:lang w:val="en-GB"/>
        </w:rPr>
        <w:t xml:space="preserve">) </w:t>
      </w:r>
      <w:r w:rsidRPr="00534BE6">
        <w:rPr>
          <w:rFonts w:ascii="Barlow" w:hAnsi="Barlow"/>
          <w:b/>
          <w:bCs/>
          <w:sz w:val="20"/>
          <w:szCs w:val="20"/>
          <w:lang w:val="en-GB"/>
        </w:rPr>
        <w:t>runs.</w:t>
      </w:r>
      <w:r w:rsidRPr="00534BE6">
        <w:rPr>
          <w:rFonts w:ascii="Barlow" w:hAnsi="Barlow"/>
          <w:sz w:val="20"/>
          <w:szCs w:val="20"/>
          <w:lang w:val="en-GB"/>
        </w:rPr>
        <w:t xml:space="preserve"> </w:t>
      </w:r>
    </w:p>
    <w:p w14:paraId="788744BE" w14:textId="67511E4A" w:rsidR="00DB6993" w:rsidRDefault="00A23947" w:rsidP="00DE6610">
      <w:pPr>
        <w:spacing w:before="120" w:after="120" w:line="280" w:lineRule="atLeast"/>
        <w:contextualSpacing/>
        <w:jc w:val="both"/>
        <w:rPr>
          <w:rFonts w:ascii="Barlow" w:hAnsi="Barlow"/>
          <w:sz w:val="20"/>
          <w:szCs w:val="20"/>
          <w:lang w:val="en-GB"/>
        </w:rPr>
      </w:pPr>
      <w:proofErr w:type="spellStart"/>
      <w:r w:rsidRPr="00E5742E">
        <w:rPr>
          <w:rFonts w:ascii="Barlow" w:hAnsi="Barlow"/>
          <w:b/>
          <w:sz w:val="20"/>
          <w:szCs w:val="20"/>
          <w:lang w:val="en-US"/>
        </w:rPr>
        <w:lastRenderedPageBreak/>
        <w:t>Cities@Heart</w:t>
      </w:r>
      <w:proofErr w:type="spellEnd"/>
      <w:r w:rsidRPr="00E5742E">
        <w:rPr>
          <w:rFonts w:ascii="Barlow" w:hAnsi="Barlow"/>
          <w:b/>
          <w:sz w:val="20"/>
          <w:szCs w:val="20"/>
          <w:lang w:val="en-US"/>
        </w:rPr>
        <w:t xml:space="preserve"> </w:t>
      </w:r>
      <w:r w:rsidR="00DB6993" w:rsidRPr="00E5742E">
        <w:rPr>
          <w:rFonts w:ascii="Barlow" w:hAnsi="Barlow"/>
          <w:sz w:val="20"/>
          <w:szCs w:val="20"/>
          <w:lang w:val="en-GB"/>
        </w:rPr>
        <w:t>proposes</w:t>
      </w:r>
      <w:r w:rsidR="00DB6993">
        <w:rPr>
          <w:rFonts w:ascii="Barlow" w:hAnsi="Barlow"/>
          <w:sz w:val="20"/>
          <w:szCs w:val="20"/>
          <w:lang w:val="en-GB"/>
        </w:rPr>
        <w:t xml:space="preserve"> to create among a partnership of cities from different sizes and backgrounds, a </w:t>
      </w:r>
      <w:r w:rsidR="00DB6993" w:rsidRPr="00705B30">
        <w:rPr>
          <w:rFonts w:ascii="Barlow" w:hAnsi="Barlow"/>
          <w:b/>
          <w:bCs/>
          <w:sz w:val="20"/>
          <w:szCs w:val="20"/>
          <w:lang w:val="en-GB"/>
        </w:rPr>
        <w:t>shared methodology</w:t>
      </w:r>
      <w:r w:rsidR="00DB6993">
        <w:rPr>
          <w:rFonts w:ascii="Barlow" w:hAnsi="Barlow"/>
          <w:sz w:val="20"/>
          <w:szCs w:val="20"/>
          <w:lang w:val="en-GB"/>
        </w:rPr>
        <w:t xml:space="preserve"> </w:t>
      </w:r>
      <w:r w:rsidR="00DB6993" w:rsidRPr="00DB6993">
        <w:rPr>
          <w:rFonts w:ascii="Barlow" w:hAnsi="Barlow"/>
          <w:sz w:val="20"/>
          <w:szCs w:val="20"/>
          <w:lang w:val="en-GB"/>
        </w:rPr>
        <w:t>adjustable</w:t>
      </w:r>
      <w:r w:rsidR="00DB6993">
        <w:rPr>
          <w:rFonts w:ascii="Barlow" w:hAnsi="Barlow"/>
          <w:sz w:val="20"/>
          <w:szCs w:val="20"/>
          <w:lang w:val="en-GB"/>
        </w:rPr>
        <w:t xml:space="preserve"> to each territory to support the decision-making process, implementation, </w:t>
      </w:r>
      <w:proofErr w:type="gramStart"/>
      <w:r w:rsidR="00DB6993">
        <w:rPr>
          <w:rFonts w:ascii="Barlow" w:hAnsi="Barlow"/>
          <w:sz w:val="20"/>
          <w:szCs w:val="20"/>
          <w:lang w:val="en-GB"/>
        </w:rPr>
        <w:t>efficiency</w:t>
      </w:r>
      <w:proofErr w:type="gramEnd"/>
      <w:r w:rsidR="00DB6993">
        <w:rPr>
          <w:rFonts w:ascii="Barlow" w:hAnsi="Barlow"/>
          <w:sz w:val="20"/>
          <w:szCs w:val="20"/>
          <w:lang w:val="en-GB"/>
        </w:rPr>
        <w:t xml:space="preserve"> and smooth run of </w:t>
      </w:r>
      <w:r w:rsidR="00DB6993" w:rsidRPr="00DB6993">
        <w:rPr>
          <w:rFonts w:ascii="Barlow" w:hAnsi="Barlow"/>
          <w:sz w:val="20"/>
          <w:szCs w:val="20"/>
          <w:lang w:val="en-GB"/>
        </w:rPr>
        <w:t>sustainable urban policies</w:t>
      </w:r>
      <w:r w:rsidR="00DB6993">
        <w:rPr>
          <w:rFonts w:ascii="Barlow" w:hAnsi="Barlow"/>
          <w:sz w:val="20"/>
          <w:szCs w:val="20"/>
          <w:lang w:val="en-GB"/>
        </w:rPr>
        <w:t>.</w:t>
      </w:r>
      <w:r w:rsidR="00DA680D">
        <w:rPr>
          <w:rFonts w:ascii="Barlow" w:hAnsi="Barlow"/>
          <w:sz w:val="20"/>
          <w:szCs w:val="20"/>
          <w:lang w:val="en-GB"/>
        </w:rPr>
        <w:t xml:space="preserve"> </w:t>
      </w:r>
      <w:r w:rsidR="00E5742E" w:rsidRPr="00E5742E">
        <w:rPr>
          <w:rFonts w:ascii="Barlow" w:hAnsi="Barlow"/>
          <w:b/>
          <w:bCs/>
          <w:sz w:val="20"/>
          <w:szCs w:val="20"/>
          <w:lang w:val="en-GB"/>
        </w:rPr>
        <w:t xml:space="preserve">Why </w:t>
      </w:r>
      <w:proofErr w:type="spellStart"/>
      <w:r w:rsidR="00620183" w:rsidRPr="00E5742E">
        <w:rPr>
          <w:rFonts w:ascii="Barlow" w:hAnsi="Barlow"/>
          <w:b/>
          <w:bCs/>
          <w:sz w:val="20"/>
          <w:szCs w:val="20"/>
          <w:lang w:val="en-GB"/>
        </w:rPr>
        <w:t>Cities@</w:t>
      </w:r>
      <w:proofErr w:type="gramStart"/>
      <w:r w:rsidR="00620183" w:rsidRPr="00E5742E">
        <w:rPr>
          <w:rFonts w:ascii="Barlow" w:hAnsi="Barlow"/>
          <w:b/>
          <w:bCs/>
          <w:sz w:val="20"/>
          <w:szCs w:val="20"/>
          <w:lang w:val="en-GB"/>
        </w:rPr>
        <w:t>Heart</w:t>
      </w:r>
      <w:proofErr w:type="spellEnd"/>
      <w:r w:rsidR="00E5742E" w:rsidRPr="00E5742E">
        <w:rPr>
          <w:rFonts w:ascii="Barlow" w:hAnsi="Barlow"/>
          <w:b/>
          <w:bCs/>
          <w:sz w:val="20"/>
          <w:szCs w:val="20"/>
          <w:lang w:val="en-GB"/>
        </w:rPr>
        <w:t xml:space="preserve"> ?</w:t>
      </w:r>
      <w:proofErr w:type="gramEnd"/>
      <w:r w:rsidR="00E5742E">
        <w:rPr>
          <w:rFonts w:ascii="Barlow" w:hAnsi="Barlow"/>
          <w:sz w:val="20"/>
          <w:szCs w:val="20"/>
          <w:lang w:val="en-GB"/>
        </w:rPr>
        <w:t xml:space="preserve"> Since it</w:t>
      </w:r>
      <w:r w:rsidR="00620183">
        <w:rPr>
          <w:rFonts w:ascii="Barlow" w:hAnsi="Barlow"/>
          <w:sz w:val="20"/>
          <w:szCs w:val="20"/>
          <w:lang w:val="en-GB"/>
        </w:rPr>
        <w:t xml:space="preserve"> aims at </w:t>
      </w:r>
      <w:r w:rsidR="000A309E">
        <w:rPr>
          <w:rFonts w:ascii="Barlow" w:hAnsi="Barlow"/>
          <w:sz w:val="20"/>
          <w:szCs w:val="20"/>
          <w:lang w:val="en-GB"/>
        </w:rPr>
        <w:t xml:space="preserve">taking the pulse of the heart of cities </w:t>
      </w:r>
      <w:r w:rsidR="00482A1F">
        <w:rPr>
          <w:rFonts w:ascii="Barlow" w:hAnsi="Barlow"/>
          <w:sz w:val="20"/>
          <w:szCs w:val="20"/>
          <w:lang w:val="en-GB"/>
        </w:rPr>
        <w:t>–</w:t>
      </w:r>
      <w:r w:rsidR="000A309E">
        <w:rPr>
          <w:rFonts w:ascii="Barlow" w:hAnsi="Barlow"/>
          <w:sz w:val="20"/>
          <w:szCs w:val="20"/>
          <w:lang w:val="en-GB"/>
        </w:rPr>
        <w:t xml:space="preserve"> </w:t>
      </w:r>
      <w:r w:rsidR="00482A1F">
        <w:rPr>
          <w:rFonts w:ascii="Barlow" w:hAnsi="Barlow"/>
          <w:sz w:val="20"/>
          <w:szCs w:val="20"/>
          <w:lang w:val="en-GB"/>
        </w:rPr>
        <w:t xml:space="preserve">city </w:t>
      </w:r>
      <w:proofErr w:type="spellStart"/>
      <w:r w:rsidR="00482A1F">
        <w:rPr>
          <w:rFonts w:ascii="Barlow" w:hAnsi="Barlow"/>
          <w:sz w:val="20"/>
          <w:szCs w:val="20"/>
          <w:lang w:val="en-GB"/>
        </w:rPr>
        <w:t>centers</w:t>
      </w:r>
      <w:proofErr w:type="spellEnd"/>
      <w:r w:rsidR="00482A1F">
        <w:rPr>
          <w:rFonts w:ascii="Barlow" w:hAnsi="Barlow"/>
          <w:sz w:val="20"/>
          <w:szCs w:val="20"/>
          <w:lang w:val="en-GB"/>
        </w:rPr>
        <w:t xml:space="preserve"> – and having a better understanding of wh</w:t>
      </w:r>
      <w:r w:rsidR="00E5742E">
        <w:rPr>
          <w:rFonts w:ascii="Barlow" w:hAnsi="Barlow"/>
          <w:sz w:val="20"/>
          <w:szCs w:val="20"/>
          <w:lang w:val="en-GB"/>
        </w:rPr>
        <w:t>at</w:t>
      </w:r>
      <w:r w:rsidR="00482A1F">
        <w:rPr>
          <w:rFonts w:ascii="Barlow" w:hAnsi="Barlow"/>
          <w:sz w:val="20"/>
          <w:szCs w:val="20"/>
          <w:lang w:val="en-GB"/>
        </w:rPr>
        <w:t xml:space="preserve"> </w:t>
      </w:r>
      <w:r w:rsidR="00E5742E">
        <w:rPr>
          <w:rFonts w:ascii="Barlow" w:hAnsi="Barlow"/>
          <w:sz w:val="20"/>
          <w:szCs w:val="20"/>
          <w:lang w:val="en-GB"/>
        </w:rPr>
        <w:t>city users</w:t>
      </w:r>
      <w:r w:rsidR="00482A1F">
        <w:rPr>
          <w:rFonts w:ascii="Barlow" w:hAnsi="Barlow"/>
          <w:sz w:val="20"/>
          <w:szCs w:val="20"/>
          <w:lang w:val="en-GB"/>
        </w:rPr>
        <w:t xml:space="preserve"> like</w:t>
      </w:r>
      <w:r w:rsidR="00E5742E">
        <w:rPr>
          <w:rFonts w:ascii="Barlow" w:hAnsi="Barlow"/>
          <w:sz w:val="20"/>
          <w:szCs w:val="20"/>
          <w:lang w:val="en-GB"/>
        </w:rPr>
        <w:t xml:space="preserve"> </w:t>
      </w:r>
      <w:proofErr w:type="gramStart"/>
      <w:r w:rsidR="002C7527">
        <w:rPr>
          <w:rFonts w:ascii="Barlow" w:hAnsi="Barlow"/>
          <w:sz w:val="20"/>
          <w:szCs w:val="20"/>
          <w:lang w:val="en-GB"/>
        </w:rPr>
        <w:t xml:space="preserve">more or less </w:t>
      </w:r>
      <w:r w:rsidR="00482A1F">
        <w:rPr>
          <w:rFonts w:ascii="Barlow" w:hAnsi="Barlow"/>
          <w:sz w:val="20"/>
          <w:szCs w:val="20"/>
          <w:lang w:val="en-GB"/>
        </w:rPr>
        <w:t>about</w:t>
      </w:r>
      <w:proofErr w:type="gramEnd"/>
      <w:r w:rsidR="00482A1F">
        <w:rPr>
          <w:rFonts w:ascii="Barlow" w:hAnsi="Barlow"/>
          <w:sz w:val="20"/>
          <w:szCs w:val="20"/>
          <w:lang w:val="en-GB"/>
        </w:rPr>
        <w:t xml:space="preserve"> these </w:t>
      </w:r>
      <w:r w:rsidR="00E5742E">
        <w:rPr>
          <w:rFonts w:ascii="Barlow" w:hAnsi="Barlow"/>
          <w:sz w:val="20"/>
          <w:szCs w:val="20"/>
          <w:lang w:val="en-GB"/>
        </w:rPr>
        <w:t>places.</w:t>
      </w:r>
    </w:p>
    <w:p w14:paraId="78652847" w14:textId="77777777" w:rsidR="00DB6993" w:rsidRDefault="00DB6993" w:rsidP="00DE6610">
      <w:pPr>
        <w:spacing w:before="120" w:after="120" w:line="280" w:lineRule="atLeast"/>
        <w:contextualSpacing/>
        <w:jc w:val="both"/>
        <w:rPr>
          <w:rFonts w:ascii="Barlow" w:hAnsi="Barlow"/>
          <w:sz w:val="20"/>
          <w:szCs w:val="20"/>
          <w:lang w:val="en-GB"/>
        </w:rPr>
      </w:pPr>
    </w:p>
    <w:p w14:paraId="01CA7494" w14:textId="1FE10990" w:rsidR="00966574" w:rsidRPr="00630D4B" w:rsidRDefault="00D17D8E" w:rsidP="00DE6610">
      <w:pPr>
        <w:spacing w:before="120" w:after="120" w:line="280" w:lineRule="atLeast"/>
        <w:contextualSpacing/>
        <w:jc w:val="both"/>
        <w:rPr>
          <w:rFonts w:ascii="Barlow" w:hAnsi="Barlow"/>
          <w:color w:val="00C4C4"/>
          <w:sz w:val="20"/>
          <w:szCs w:val="20"/>
          <w:lang w:val="en-GB"/>
        </w:rPr>
      </w:pPr>
      <w:r w:rsidRPr="00DE6610">
        <w:rPr>
          <w:rFonts w:ascii="Barlow" w:hAnsi="Barlow"/>
          <w:color w:val="00C4C4"/>
          <w:sz w:val="20"/>
          <w:szCs w:val="20"/>
          <w:lang w:val="en-GB"/>
        </w:rPr>
        <w:t>Excerpt from th</w:t>
      </w:r>
      <w:r w:rsidR="00845648" w:rsidRPr="00DE6610">
        <w:rPr>
          <w:rFonts w:ascii="Barlow" w:hAnsi="Barlow"/>
          <w:color w:val="00C4C4"/>
          <w:sz w:val="20"/>
          <w:szCs w:val="20"/>
          <w:lang w:val="en-GB"/>
        </w:rPr>
        <w:t xml:space="preserve">e </w:t>
      </w:r>
      <w:r w:rsidR="000B769A" w:rsidRPr="00DE6610">
        <w:rPr>
          <w:rFonts w:ascii="Barlow" w:hAnsi="Barlow"/>
          <w:color w:val="00C4C4"/>
          <w:sz w:val="20"/>
          <w:szCs w:val="20"/>
          <w:lang w:val="en-GB"/>
        </w:rPr>
        <w:t xml:space="preserve">URBACT IV </w:t>
      </w:r>
      <w:r w:rsidR="00845648" w:rsidRPr="00DE6610">
        <w:rPr>
          <w:rFonts w:ascii="Barlow" w:hAnsi="Barlow"/>
          <w:color w:val="00C4C4"/>
          <w:sz w:val="20"/>
          <w:szCs w:val="20"/>
          <w:lang w:val="en-GB"/>
        </w:rPr>
        <w:t>programme manual</w:t>
      </w:r>
      <w:r w:rsidRPr="00DE6610">
        <w:rPr>
          <w:rFonts w:ascii="Barlow" w:hAnsi="Barlow"/>
          <w:color w:val="00C4C4"/>
          <w:sz w:val="20"/>
          <w:szCs w:val="20"/>
          <w:lang w:val="en-GB"/>
        </w:rPr>
        <w:t>:</w:t>
      </w:r>
    </w:p>
    <w:p w14:paraId="73FD841A" w14:textId="24DBD839" w:rsidR="009850BF" w:rsidRDefault="003142A0" w:rsidP="0015606E">
      <w:pPr>
        <w:spacing w:before="120" w:after="120" w:line="280" w:lineRule="atLeast"/>
        <w:contextualSpacing/>
        <w:jc w:val="both"/>
        <w:rPr>
          <w:rFonts w:ascii="Barlow" w:hAnsi="Barlow"/>
          <w:color w:val="00C4C4"/>
          <w:sz w:val="20"/>
          <w:szCs w:val="20"/>
          <w:lang w:val="en-GB"/>
        </w:rPr>
      </w:pPr>
      <w:r w:rsidRPr="00DE6610">
        <w:rPr>
          <w:rFonts w:ascii="Barlow" w:hAnsi="Barlow"/>
          <w:i/>
          <w:color w:val="00C4C4"/>
          <w:sz w:val="20"/>
          <w:szCs w:val="20"/>
          <w:lang w:val="en-GB"/>
        </w:rPr>
        <w:t>“</w:t>
      </w:r>
      <w:r w:rsidRPr="00DE6610">
        <w:rPr>
          <w:rFonts w:ascii="Barlow" w:hAnsi="Barlow" w:cs="Helvetica"/>
          <w:i/>
          <w:color w:val="00C4C4"/>
          <w:sz w:val="20"/>
          <w:szCs w:val="20"/>
          <w:lang w:val="en-GB"/>
        </w:rPr>
        <w:t>A</w:t>
      </w:r>
      <w:r w:rsidR="00966574" w:rsidRPr="00DE6610">
        <w:rPr>
          <w:rFonts w:ascii="Arial" w:hAnsi="Arial" w:cs="Arial"/>
          <w:i/>
          <w:iCs/>
          <w:color w:val="00C4C4"/>
          <w:sz w:val="20"/>
          <w:szCs w:val="20"/>
          <w:lang w:val="en-US"/>
        </w:rPr>
        <w:t xml:space="preserve"> Interregional cooperation to reinforce the effectiveness of cohesion policy (Interreg C) by promoting exchange of experiences, innovative approaches and capacity building in relation to the identification, transfer and </w:t>
      </w:r>
      <w:proofErr w:type="spellStart"/>
      <w:r w:rsidR="00966574" w:rsidRPr="00DE6610">
        <w:rPr>
          <w:rFonts w:ascii="Arial" w:hAnsi="Arial" w:cs="Arial"/>
          <w:i/>
          <w:iCs/>
          <w:color w:val="00C4C4"/>
          <w:sz w:val="20"/>
          <w:szCs w:val="20"/>
          <w:lang w:val="en-US"/>
        </w:rPr>
        <w:t>capitalisation</w:t>
      </w:r>
      <w:proofErr w:type="spellEnd"/>
      <w:r w:rsidR="00966574" w:rsidRPr="00DE6610">
        <w:rPr>
          <w:rFonts w:ascii="Arial" w:hAnsi="Arial" w:cs="Arial"/>
          <w:i/>
          <w:iCs/>
          <w:color w:val="00C4C4"/>
          <w:sz w:val="20"/>
          <w:szCs w:val="20"/>
          <w:lang w:val="en-US"/>
        </w:rPr>
        <w:t xml:space="preserve"> of good practices on integrated and sustainable urban development, taking into account the linkages between urban and rural areas, supporting actions developed in the framework of Article 11 of Regulation (EU) 2021/1058 and while also complementing in a coordinated way with the initiative outlined in Article 12 of that Regulation (the ‘URBACT </w:t>
      </w:r>
      <w:proofErr w:type="spellStart"/>
      <w:r w:rsidR="00966574" w:rsidRPr="00DE6610">
        <w:rPr>
          <w:rFonts w:ascii="Arial" w:hAnsi="Arial" w:cs="Arial"/>
          <w:i/>
          <w:iCs/>
          <w:color w:val="00C4C4"/>
          <w:sz w:val="20"/>
          <w:szCs w:val="20"/>
          <w:lang w:val="en-US"/>
        </w:rPr>
        <w:t>Programme</w:t>
      </w:r>
      <w:proofErr w:type="spellEnd"/>
      <w:r w:rsidR="00966574" w:rsidRPr="00DE6610">
        <w:rPr>
          <w:rFonts w:ascii="Arial" w:hAnsi="Arial" w:cs="Arial"/>
          <w:i/>
          <w:iCs/>
          <w:color w:val="00C4C4"/>
          <w:sz w:val="20"/>
          <w:szCs w:val="20"/>
          <w:lang w:val="en-US"/>
        </w:rPr>
        <w:t xml:space="preserve">’); </w:t>
      </w:r>
      <w:r w:rsidRPr="00DE6610">
        <w:rPr>
          <w:rFonts w:ascii="Barlow" w:hAnsi="Barlow" w:cs="Helvetica"/>
          <w:i/>
          <w:color w:val="00C4C4"/>
          <w:sz w:val="20"/>
          <w:szCs w:val="20"/>
          <w:lang w:val="en-GB"/>
        </w:rPr>
        <w:t>”</w:t>
      </w:r>
    </w:p>
    <w:p w14:paraId="2102C5B3" w14:textId="77777777" w:rsidR="0015606E" w:rsidRPr="0015606E" w:rsidRDefault="0015606E" w:rsidP="0015606E">
      <w:pPr>
        <w:spacing w:before="120" w:after="120" w:line="280" w:lineRule="atLeast"/>
        <w:contextualSpacing/>
        <w:jc w:val="both"/>
        <w:rPr>
          <w:rFonts w:ascii="Barlow" w:hAnsi="Barlow"/>
          <w:color w:val="00C4C4"/>
          <w:sz w:val="20"/>
          <w:szCs w:val="20"/>
          <w:lang w:val="en-GB"/>
        </w:rPr>
      </w:pPr>
    </w:p>
    <w:p w14:paraId="77396A72" w14:textId="43381096" w:rsidR="00400DD6" w:rsidRDefault="00B96298" w:rsidP="00DE6610">
      <w:pPr>
        <w:autoSpaceDE w:val="0"/>
        <w:autoSpaceDN w:val="0"/>
        <w:adjustRightInd w:val="0"/>
        <w:spacing w:before="120" w:after="120" w:line="280" w:lineRule="atLeast"/>
        <w:jc w:val="both"/>
        <w:rPr>
          <w:rFonts w:ascii="Barlow" w:hAnsi="Barlow" w:cs="Helvetica"/>
          <w:sz w:val="20"/>
          <w:szCs w:val="20"/>
          <w:lang w:val="en-GB"/>
        </w:rPr>
      </w:pPr>
      <w:r>
        <w:rPr>
          <w:rFonts w:ascii="Barlow" w:hAnsi="Barlow" w:cs="Helvetica"/>
          <w:sz w:val="20"/>
          <w:szCs w:val="20"/>
          <w:lang w:val="en-GB"/>
        </w:rPr>
        <w:t xml:space="preserve">This </w:t>
      </w:r>
      <w:r w:rsidR="00966574">
        <w:rPr>
          <w:rFonts w:ascii="Barlow" w:hAnsi="Barlow" w:cs="Helvetica"/>
          <w:sz w:val="20"/>
          <w:szCs w:val="20"/>
          <w:lang w:val="en-GB"/>
        </w:rPr>
        <w:t xml:space="preserve">partnership is willing to capitalize on good practices created, developed, </w:t>
      </w:r>
      <w:proofErr w:type="gramStart"/>
      <w:r w:rsidR="00966574">
        <w:rPr>
          <w:rFonts w:ascii="Barlow" w:hAnsi="Barlow" w:cs="Helvetica"/>
          <w:sz w:val="20"/>
          <w:szCs w:val="20"/>
          <w:lang w:val="en-GB"/>
        </w:rPr>
        <w:t>monitored</w:t>
      </w:r>
      <w:proofErr w:type="gramEnd"/>
      <w:r w:rsidR="00966574">
        <w:rPr>
          <w:rFonts w:ascii="Barlow" w:hAnsi="Barlow" w:cs="Helvetica"/>
          <w:sz w:val="20"/>
          <w:szCs w:val="20"/>
          <w:lang w:val="en-GB"/>
        </w:rPr>
        <w:t xml:space="preserve"> and improved over the years </w:t>
      </w:r>
      <w:r w:rsidR="00794E2F">
        <w:rPr>
          <w:rFonts w:ascii="Barlow" w:hAnsi="Barlow" w:cs="Helvetica"/>
          <w:sz w:val="20"/>
          <w:szCs w:val="20"/>
          <w:lang w:val="en-GB"/>
        </w:rPr>
        <w:t>i</w:t>
      </w:r>
      <w:r w:rsidR="00966574">
        <w:rPr>
          <w:rFonts w:ascii="Barlow" w:hAnsi="Barlow" w:cs="Helvetica"/>
          <w:sz w:val="20"/>
          <w:szCs w:val="20"/>
          <w:lang w:val="en-GB"/>
        </w:rPr>
        <w:t xml:space="preserve">n </w:t>
      </w:r>
      <w:r w:rsidR="004C2962" w:rsidRPr="007D635D">
        <w:rPr>
          <w:rFonts w:ascii="Barlow" w:hAnsi="Barlow" w:cs="Helvetica"/>
          <w:b/>
          <w:bCs/>
          <w:sz w:val="20"/>
          <w:szCs w:val="20"/>
          <w:lang w:val="en-GB"/>
        </w:rPr>
        <w:t>T</w:t>
      </w:r>
      <w:r w:rsidR="0038264C" w:rsidRPr="007D635D">
        <w:rPr>
          <w:rFonts w:ascii="Barlow" w:hAnsi="Barlow" w:cs="Helvetica"/>
          <w:b/>
          <w:bCs/>
          <w:sz w:val="20"/>
          <w:szCs w:val="20"/>
          <w:lang w:val="en-GB"/>
        </w:rPr>
        <w:t xml:space="preserve">own </w:t>
      </w:r>
      <w:r w:rsidR="004C2962" w:rsidRPr="007D635D">
        <w:rPr>
          <w:rFonts w:ascii="Barlow" w:hAnsi="Barlow" w:cs="Helvetica"/>
          <w:b/>
          <w:bCs/>
          <w:sz w:val="20"/>
          <w:szCs w:val="20"/>
          <w:lang w:val="en-GB"/>
        </w:rPr>
        <w:t>C</w:t>
      </w:r>
      <w:r w:rsidR="0038264C" w:rsidRPr="007D635D">
        <w:rPr>
          <w:rFonts w:ascii="Barlow" w:hAnsi="Barlow" w:cs="Helvetica"/>
          <w:b/>
          <w:bCs/>
          <w:sz w:val="20"/>
          <w:szCs w:val="20"/>
          <w:lang w:val="en-GB"/>
        </w:rPr>
        <w:t xml:space="preserve">entre </w:t>
      </w:r>
      <w:r w:rsidR="004C2962" w:rsidRPr="007D635D">
        <w:rPr>
          <w:rFonts w:ascii="Barlow" w:hAnsi="Barlow" w:cs="Helvetica"/>
          <w:b/>
          <w:bCs/>
          <w:sz w:val="20"/>
          <w:szCs w:val="20"/>
          <w:lang w:val="en-GB"/>
        </w:rPr>
        <w:t>M</w:t>
      </w:r>
      <w:r w:rsidR="0038264C" w:rsidRPr="007D635D">
        <w:rPr>
          <w:rFonts w:ascii="Barlow" w:hAnsi="Barlow" w:cs="Helvetica"/>
          <w:b/>
          <w:bCs/>
          <w:sz w:val="20"/>
          <w:szCs w:val="20"/>
          <w:lang w:val="en-GB"/>
        </w:rPr>
        <w:t>anagement</w:t>
      </w:r>
      <w:r w:rsidR="0038264C">
        <w:rPr>
          <w:rFonts w:ascii="Barlow" w:hAnsi="Barlow" w:cs="Helvetica"/>
          <w:sz w:val="20"/>
          <w:szCs w:val="20"/>
          <w:lang w:val="en-GB"/>
        </w:rPr>
        <w:t xml:space="preserve"> (TCM)</w:t>
      </w:r>
      <w:r>
        <w:rPr>
          <w:rFonts w:ascii="Barlow" w:hAnsi="Barlow" w:cs="Helvetica"/>
          <w:sz w:val="20"/>
          <w:szCs w:val="20"/>
          <w:lang w:val="en-GB"/>
        </w:rPr>
        <w:t xml:space="preserve">. </w:t>
      </w:r>
      <w:r w:rsidR="0038264C">
        <w:rPr>
          <w:rFonts w:ascii="Barlow" w:hAnsi="Barlow" w:cs="Helvetica"/>
          <w:sz w:val="20"/>
          <w:szCs w:val="20"/>
          <w:lang w:val="en-GB"/>
        </w:rPr>
        <w:t xml:space="preserve"> </w:t>
      </w:r>
      <w:r w:rsidR="004C2962">
        <w:rPr>
          <w:rFonts w:ascii="Barlow" w:hAnsi="Barlow" w:cs="Helvetica"/>
          <w:sz w:val="20"/>
          <w:szCs w:val="20"/>
          <w:lang w:val="en-GB"/>
        </w:rPr>
        <w:t xml:space="preserve">TCM consists in ensuring that </w:t>
      </w:r>
      <w:r w:rsidR="009626AE" w:rsidRPr="007D635D">
        <w:rPr>
          <w:rFonts w:ascii="Barlow" w:hAnsi="Barlow" w:cs="Helvetica"/>
          <w:b/>
          <w:bCs/>
          <w:sz w:val="20"/>
          <w:szCs w:val="20"/>
          <w:lang w:val="en-GB"/>
        </w:rPr>
        <w:t xml:space="preserve">town centre functions </w:t>
      </w:r>
      <w:r w:rsidR="00500193" w:rsidRPr="007D635D">
        <w:rPr>
          <w:rFonts w:ascii="Barlow" w:hAnsi="Barlow" w:cs="Helvetica"/>
          <w:b/>
          <w:bCs/>
          <w:sz w:val="20"/>
          <w:szCs w:val="20"/>
          <w:lang w:val="en-GB"/>
        </w:rPr>
        <w:t>(</w:t>
      </w:r>
      <w:r w:rsidR="00E02D52" w:rsidRPr="007D635D">
        <w:rPr>
          <w:rFonts w:ascii="Barlow" w:hAnsi="Barlow" w:cs="Helvetica"/>
          <w:b/>
          <w:bCs/>
          <w:sz w:val="20"/>
          <w:szCs w:val="20"/>
          <w:lang w:val="en-GB"/>
        </w:rPr>
        <w:t xml:space="preserve">live, </w:t>
      </w:r>
      <w:r w:rsidR="00500193" w:rsidRPr="007D635D">
        <w:rPr>
          <w:rFonts w:ascii="Barlow" w:hAnsi="Barlow" w:cs="Helvetica"/>
          <w:b/>
          <w:bCs/>
          <w:sz w:val="20"/>
          <w:szCs w:val="20"/>
          <w:lang w:val="en-GB"/>
        </w:rPr>
        <w:t xml:space="preserve">work, leisure, culture, history, education, living, health, </w:t>
      </w:r>
      <w:proofErr w:type="gramStart"/>
      <w:r w:rsidR="00500193" w:rsidRPr="007D635D">
        <w:rPr>
          <w:rFonts w:ascii="Barlow" w:hAnsi="Barlow" w:cs="Helvetica"/>
          <w:b/>
          <w:bCs/>
          <w:sz w:val="20"/>
          <w:szCs w:val="20"/>
          <w:lang w:val="en-GB"/>
        </w:rPr>
        <w:t>shopping</w:t>
      </w:r>
      <w:proofErr w:type="gramEnd"/>
      <w:r w:rsidR="00500193" w:rsidRPr="007D635D">
        <w:rPr>
          <w:rFonts w:ascii="Barlow" w:hAnsi="Barlow" w:cs="Helvetica"/>
          <w:b/>
          <w:bCs/>
          <w:sz w:val="20"/>
          <w:szCs w:val="20"/>
          <w:lang w:val="en-GB"/>
        </w:rPr>
        <w:t xml:space="preserve"> and public services</w:t>
      </w:r>
      <w:r w:rsidR="008508CC" w:rsidRPr="007D635D">
        <w:rPr>
          <w:rFonts w:ascii="Barlow" w:hAnsi="Barlow" w:cs="Helvetica"/>
          <w:b/>
          <w:bCs/>
          <w:sz w:val="20"/>
          <w:szCs w:val="20"/>
          <w:lang w:val="en-GB"/>
        </w:rPr>
        <w:t>, etc.</w:t>
      </w:r>
      <w:r w:rsidR="00500193" w:rsidRPr="007D635D">
        <w:rPr>
          <w:rFonts w:ascii="Barlow" w:hAnsi="Barlow" w:cs="Helvetica"/>
          <w:b/>
          <w:bCs/>
          <w:sz w:val="20"/>
          <w:szCs w:val="20"/>
          <w:lang w:val="en-GB"/>
        </w:rPr>
        <w:t xml:space="preserve">) </w:t>
      </w:r>
      <w:r w:rsidR="004873A5" w:rsidRPr="007D635D">
        <w:rPr>
          <w:rFonts w:ascii="Barlow" w:hAnsi="Barlow" w:cs="Helvetica"/>
          <w:b/>
          <w:bCs/>
          <w:sz w:val="20"/>
          <w:szCs w:val="20"/>
          <w:lang w:val="en-GB"/>
        </w:rPr>
        <w:t xml:space="preserve">meet the need of its users through an appropriate </w:t>
      </w:r>
      <w:r w:rsidR="00BC4EDB" w:rsidRPr="007D635D">
        <w:rPr>
          <w:rFonts w:ascii="Barlow" w:hAnsi="Barlow" w:cs="Helvetica"/>
          <w:b/>
          <w:bCs/>
          <w:sz w:val="20"/>
          <w:szCs w:val="20"/>
          <w:lang w:val="en-GB"/>
        </w:rPr>
        <w:t>strategy bringing together public and private actors</w:t>
      </w:r>
      <w:r w:rsidR="00BC4EDB">
        <w:rPr>
          <w:rFonts w:ascii="Barlow" w:hAnsi="Barlow" w:cs="Helvetica"/>
          <w:sz w:val="20"/>
          <w:szCs w:val="20"/>
          <w:lang w:val="en-GB"/>
        </w:rPr>
        <w:t xml:space="preserve">. </w:t>
      </w:r>
      <w:r w:rsidR="008508CC">
        <w:rPr>
          <w:rFonts w:ascii="Barlow" w:hAnsi="Barlow" w:cs="Helvetica"/>
          <w:sz w:val="20"/>
          <w:szCs w:val="20"/>
          <w:lang w:val="en-GB"/>
        </w:rPr>
        <w:t xml:space="preserve">Pre-existing </w:t>
      </w:r>
      <w:r w:rsidR="00102C51">
        <w:rPr>
          <w:rFonts w:ascii="Barlow" w:hAnsi="Barlow" w:cs="Helvetica"/>
          <w:sz w:val="20"/>
          <w:szCs w:val="20"/>
          <w:lang w:val="en-GB"/>
        </w:rPr>
        <w:t>practices</w:t>
      </w:r>
      <w:r w:rsidR="00857BA0">
        <w:rPr>
          <w:rFonts w:ascii="Barlow" w:hAnsi="Barlow" w:cs="Helvetica"/>
          <w:sz w:val="20"/>
          <w:szCs w:val="20"/>
          <w:lang w:val="en-GB"/>
        </w:rPr>
        <w:t xml:space="preserve"> such as the </w:t>
      </w:r>
      <w:hyperlink r:id="rId11" w:history="1">
        <w:r w:rsidR="00857BA0" w:rsidRPr="001D6250">
          <w:rPr>
            <w:rStyle w:val="Lienhypertexte"/>
            <w:rFonts w:ascii="Barlow" w:hAnsi="Barlow" w:cs="Helvetica"/>
            <w:sz w:val="20"/>
            <w:szCs w:val="20"/>
            <w:lang w:val="en-GB"/>
          </w:rPr>
          <w:t>ISO 9001 Quality Mark</w:t>
        </w:r>
      </w:hyperlink>
      <w:r w:rsidR="00857BA0">
        <w:rPr>
          <w:rFonts w:ascii="Barlow" w:hAnsi="Barlow" w:cs="Helvetica"/>
          <w:sz w:val="20"/>
          <w:szCs w:val="20"/>
          <w:lang w:val="en-GB"/>
        </w:rPr>
        <w:t xml:space="preserve"> develo</w:t>
      </w:r>
      <w:r w:rsidR="00F768F9">
        <w:rPr>
          <w:rFonts w:ascii="Barlow" w:hAnsi="Barlow" w:cs="Helvetica"/>
          <w:sz w:val="20"/>
          <w:szCs w:val="20"/>
          <w:lang w:val="en-GB"/>
        </w:rPr>
        <w:t xml:space="preserve">ped by the Town Centre Management </w:t>
      </w:r>
      <w:r w:rsidR="00050D6A">
        <w:rPr>
          <w:rFonts w:ascii="Barlow" w:hAnsi="Barlow" w:cs="Helvetica"/>
          <w:sz w:val="20"/>
          <w:szCs w:val="20"/>
          <w:lang w:val="en-GB"/>
        </w:rPr>
        <w:t xml:space="preserve">Worldwide </w:t>
      </w:r>
      <w:r w:rsidR="00102C51">
        <w:rPr>
          <w:rFonts w:ascii="Barlow" w:hAnsi="Barlow" w:cs="Helvetica"/>
          <w:sz w:val="20"/>
          <w:szCs w:val="20"/>
          <w:lang w:val="en-GB"/>
        </w:rPr>
        <w:t>include :</w:t>
      </w:r>
    </w:p>
    <w:p w14:paraId="021333BD" w14:textId="4055DAA8" w:rsidR="00400DD6" w:rsidRDefault="007D1278" w:rsidP="00630D4B">
      <w:pPr>
        <w:numPr>
          <w:ilvl w:val="0"/>
          <w:numId w:val="3"/>
        </w:numPr>
        <w:autoSpaceDE w:val="0"/>
        <w:autoSpaceDN w:val="0"/>
        <w:adjustRightInd w:val="0"/>
        <w:spacing w:before="60" w:after="60" w:line="280" w:lineRule="atLeast"/>
        <w:ind w:left="714" w:hanging="357"/>
        <w:jc w:val="both"/>
        <w:rPr>
          <w:rFonts w:ascii="Barlow" w:hAnsi="Barlow" w:cs="Helvetica"/>
          <w:sz w:val="20"/>
          <w:szCs w:val="20"/>
          <w:lang w:val="en-GB"/>
        </w:rPr>
      </w:pPr>
      <w:r>
        <w:rPr>
          <w:rFonts w:ascii="Barlow" w:hAnsi="Barlow" w:cs="Helvetica"/>
          <w:b/>
          <w:bCs/>
          <w:sz w:val="20"/>
          <w:szCs w:val="20"/>
          <w:lang w:val="en-GB"/>
        </w:rPr>
        <w:fldChar w:fldCharType="begin"/>
      </w:r>
      <w:r>
        <w:rPr>
          <w:rFonts w:ascii="Barlow" w:hAnsi="Barlow" w:cs="Helvetica"/>
          <w:b/>
          <w:bCs/>
          <w:sz w:val="20"/>
          <w:szCs w:val="20"/>
          <w:lang w:val="en-GB"/>
        </w:rPr>
        <w:instrText xml:space="preserve"> HYPERLINK "https://www.amcv.be/expertise/managing-tool" </w:instrText>
      </w:r>
      <w:r>
        <w:rPr>
          <w:rFonts w:ascii="Barlow" w:hAnsi="Barlow" w:cs="Helvetica"/>
          <w:b/>
          <w:bCs/>
          <w:sz w:val="20"/>
          <w:szCs w:val="20"/>
          <w:lang w:val="en-GB"/>
        </w:rPr>
      </w:r>
      <w:r>
        <w:rPr>
          <w:rFonts w:ascii="Barlow" w:hAnsi="Barlow" w:cs="Helvetica"/>
          <w:b/>
          <w:bCs/>
          <w:sz w:val="20"/>
          <w:szCs w:val="20"/>
          <w:lang w:val="en-GB"/>
        </w:rPr>
        <w:fldChar w:fldCharType="separate"/>
      </w:r>
      <w:r w:rsidR="007B729C" w:rsidRPr="007D1278">
        <w:rPr>
          <w:rStyle w:val="Lienhypertexte"/>
          <w:rFonts w:ascii="Barlow" w:hAnsi="Barlow" w:cs="Helvetica"/>
          <w:b/>
          <w:bCs/>
          <w:sz w:val="20"/>
          <w:szCs w:val="20"/>
          <w:lang w:val="en-GB"/>
        </w:rPr>
        <w:t>D</w:t>
      </w:r>
      <w:r w:rsidR="009E6059" w:rsidRPr="007D1278">
        <w:rPr>
          <w:rStyle w:val="Lienhypertexte"/>
          <w:rFonts w:ascii="Barlow" w:hAnsi="Barlow" w:cs="Helvetica"/>
          <w:b/>
          <w:bCs/>
          <w:sz w:val="20"/>
          <w:szCs w:val="20"/>
          <w:lang w:val="en-GB"/>
        </w:rPr>
        <w:t>igital managing tool</w:t>
      </w:r>
      <w:r w:rsidR="007B729C" w:rsidRPr="007D1278">
        <w:rPr>
          <w:rStyle w:val="Lienhypertexte"/>
          <w:rFonts w:ascii="Barlow" w:hAnsi="Barlow" w:cs="Helvetica"/>
          <w:b/>
          <w:bCs/>
          <w:sz w:val="20"/>
          <w:szCs w:val="20"/>
          <w:lang w:val="en-GB"/>
        </w:rPr>
        <w:t>s</w:t>
      </w:r>
      <w:r>
        <w:rPr>
          <w:rFonts w:ascii="Barlow" w:hAnsi="Barlow" w:cs="Helvetica"/>
          <w:b/>
          <w:bCs/>
          <w:sz w:val="20"/>
          <w:szCs w:val="20"/>
          <w:lang w:val="en-GB"/>
        </w:rPr>
        <w:fldChar w:fldCharType="end"/>
      </w:r>
      <w:r w:rsidR="009E6059">
        <w:rPr>
          <w:rFonts w:ascii="Barlow" w:hAnsi="Barlow" w:cs="Helvetica"/>
          <w:sz w:val="20"/>
          <w:szCs w:val="20"/>
          <w:lang w:val="en-GB"/>
        </w:rPr>
        <w:t xml:space="preserve"> made out of </w:t>
      </w:r>
      <w:r w:rsidR="00400DD6" w:rsidRPr="00400DD6">
        <w:rPr>
          <w:rFonts w:ascii="Barlow" w:hAnsi="Barlow" w:cs="Helvetica"/>
          <w:sz w:val="20"/>
          <w:szCs w:val="20"/>
          <w:lang w:val="en-GB"/>
        </w:rPr>
        <w:t xml:space="preserve">efficient </w:t>
      </w:r>
      <w:r w:rsidR="00400DD6" w:rsidRPr="00705B30">
        <w:rPr>
          <w:rFonts w:ascii="Barlow" w:hAnsi="Barlow" w:cs="Helvetica"/>
          <w:b/>
          <w:bCs/>
          <w:sz w:val="20"/>
          <w:szCs w:val="20"/>
          <w:lang w:val="en-GB"/>
        </w:rPr>
        <w:t>key performance indicators</w:t>
      </w:r>
      <w:r w:rsidR="00FC36B3" w:rsidRPr="00705B30">
        <w:rPr>
          <w:rFonts w:ascii="Barlow" w:hAnsi="Barlow" w:cs="Helvetica"/>
          <w:b/>
          <w:bCs/>
          <w:sz w:val="20"/>
          <w:szCs w:val="20"/>
          <w:lang w:val="en-GB"/>
        </w:rPr>
        <w:t xml:space="preserve"> </w:t>
      </w:r>
      <w:r w:rsidR="00FC36B3">
        <w:rPr>
          <w:rFonts w:ascii="Barlow" w:hAnsi="Barlow" w:cs="Helvetica"/>
          <w:sz w:val="20"/>
          <w:szCs w:val="20"/>
          <w:lang w:val="en-GB"/>
        </w:rPr>
        <w:t>(KPI)</w:t>
      </w:r>
      <w:r w:rsidR="009310A1">
        <w:rPr>
          <w:rFonts w:ascii="Barlow" w:hAnsi="Barlow" w:cs="Helvetica"/>
          <w:sz w:val="20"/>
          <w:szCs w:val="20"/>
          <w:lang w:val="en-GB"/>
        </w:rPr>
        <w:t xml:space="preserve">, both supporting local policies in their set-up and monitoring the </w:t>
      </w:r>
      <w:r w:rsidR="009310A1" w:rsidRPr="00705B30">
        <w:rPr>
          <w:rFonts w:ascii="Barlow" w:hAnsi="Barlow" w:cs="Helvetica"/>
          <w:b/>
          <w:bCs/>
          <w:sz w:val="20"/>
          <w:szCs w:val="20"/>
          <w:lang w:val="en-GB"/>
        </w:rPr>
        <w:t>positive side-effects</w:t>
      </w:r>
      <w:r w:rsidR="009310A1">
        <w:rPr>
          <w:rFonts w:ascii="Barlow" w:hAnsi="Barlow" w:cs="Helvetica"/>
          <w:sz w:val="20"/>
          <w:szCs w:val="20"/>
          <w:lang w:val="en-GB"/>
        </w:rPr>
        <w:t xml:space="preserve"> of their </w:t>
      </w:r>
      <w:proofErr w:type="gramStart"/>
      <w:r w:rsidR="009310A1">
        <w:rPr>
          <w:rFonts w:ascii="Barlow" w:hAnsi="Barlow" w:cs="Helvetica"/>
          <w:sz w:val="20"/>
          <w:szCs w:val="20"/>
          <w:lang w:val="en-GB"/>
        </w:rPr>
        <w:t xml:space="preserve">implementation </w:t>
      </w:r>
      <w:r w:rsidR="00400DD6">
        <w:rPr>
          <w:rFonts w:ascii="Barlow" w:hAnsi="Barlow" w:cs="Helvetica"/>
          <w:sz w:val="20"/>
          <w:szCs w:val="20"/>
          <w:lang w:val="en-GB"/>
        </w:rPr>
        <w:t>;</w:t>
      </w:r>
      <w:proofErr w:type="gramEnd"/>
    </w:p>
    <w:p w14:paraId="6904DB7E" w14:textId="0FC41DE6" w:rsidR="00400DD6" w:rsidRDefault="009A28D9" w:rsidP="00630D4B">
      <w:pPr>
        <w:numPr>
          <w:ilvl w:val="0"/>
          <w:numId w:val="3"/>
        </w:numPr>
        <w:autoSpaceDE w:val="0"/>
        <w:autoSpaceDN w:val="0"/>
        <w:adjustRightInd w:val="0"/>
        <w:spacing w:before="60" w:after="60" w:line="280" w:lineRule="atLeast"/>
        <w:ind w:left="714" w:hanging="357"/>
        <w:jc w:val="both"/>
        <w:rPr>
          <w:rFonts w:ascii="Barlow" w:hAnsi="Barlow" w:cs="Helvetica"/>
          <w:sz w:val="20"/>
          <w:szCs w:val="20"/>
          <w:lang w:val="en-GB"/>
        </w:rPr>
      </w:pPr>
      <w:r w:rsidRPr="00705B30">
        <w:rPr>
          <w:rFonts w:ascii="Barlow" w:hAnsi="Barlow" w:cs="Helvetica"/>
          <w:b/>
          <w:bCs/>
          <w:sz w:val="20"/>
          <w:szCs w:val="20"/>
          <w:lang w:val="en-GB"/>
        </w:rPr>
        <w:t>D</w:t>
      </w:r>
      <w:r w:rsidR="009E6059" w:rsidRPr="00705B30">
        <w:rPr>
          <w:rFonts w:ascii="Barlow" w:hAnsi="Barlow" w:cs="Helvetica"/>
          <w:b/>
          <w:bCs/>
          <w:sz w:val="20"/>
          <w:szCs w:val="20"/>
          <w:lang w:val="en-GB"/>
        </w:rPr>
        <w:t xml:space="preserve">igital </w:t>
      </w:r>
      <w:r w:rsidR="00400DD6" w:rsidRPr="00705B30">
        <w:rPr>
          <w:rFonts w:ascii="Barlow" w:hAnsi="Barlow" w:cs="Helvetica"/>
          <w:b/>
          <w:bCs/>
          <w:sz w:val="20"/>
          <w:szCs w:val="20"/>
          <w:lang w:val="en-GB"/>
        </w:rPr>
        <w:t>decision-making tools</w:t>
      </w:r>
      <w:r w:rsidR="009E6059">
        <w:rPr>
          <w:rFonts w:ascii="Barlow" w:hAnsi="Barlow" w:cs="Helvetica"/>
          <w:sz w:val="20"/>
          <w:szCs w:val="20"/>
          <w:lang w:val="en-GB"/>
        </w:rPr>
        <w:t xml:space="preserve"> infilled by </w:t>
      </w:r>
      <w:r w:rsidR="009C0B17">
        <w:rPr>
          <w:rFonts w:ascii="Barlow" w:hAnsi="Barlow" w:cs="Helvetica"/>
          <w:sz w:val="20"/>
          <w:szCs w:val="20"/>
          <w:lang w:val="en-GB"/>
        </w:rPr>
        <w:t xml:space="preserve">field work with local partnerships and different levels of </w:t>
      </w:r>
      <w:proofErr w:type="gramStart"/>
      <w:r w:rsidR="009C0B17">
        <w:rPr>
          <w:rFonts w:ascii="Barlow" w:hAnsi="Barlow" w:cs="Helvetica"/>
          <w:sz w:val="20"/>
          <w:szCs w:val="20"/>
          <w:lang w:val="en-GB"/>
        </w:rPr>
        <w:t>governance</w:t>
      </w:r>
      <w:r w:rsidR="00380C92">
        <w:rPr>
          <w:rFonts w:ascii="Barlow" w:hAnsi="Barlow" w:cs="Helvetica"/>
          <w:sz w:val="20"/>
          <w:szCs w:val="20"/>
          <w:lang w:val="en-GB"/>
        </w:rPr>
        <w:t xml:space="preserve"> </w:t>
      </w:r>
      <w:r w:rsidR="00400DD6">
        <w:rPr>
          <w:rFonts w:ascii="Barlow" w:hAnsi="Barlow" w:cs="Helvetica"/>
          <w:sz w:val="20"/>
          <w:szCs w:val="20"/>
          <w:lang w:val="en-GB"/>
        </w:rPr>
        <w:t>;</w:t>
      </w:r>
      <w:proofErr w:type="gramEnd"/>
    </w:p>
    <w:p w14:paraId="71BBC423" w14:textId="1CAA63B9" w:rsidR="002E7684" w:rsidRPr="002E7684" w:rsidRDefault="002E7684" w:rsidP="002E7684">
      <w:pPr>
        <w:numPr>
          <w:ilvl w:val="0"/>
          <w:numId w:val="3"/>
        </w:numPr>
        <w:autoSpaceDE w:val="0"/>
        <w:autoSpaceDN w:val="0"/>
        <w:adjustRightInd w:val="0"/>
        <w:spacing w:before="60" w:after="60" w:line="280" w:lineRule="atLeast"/>
        <w:ind w:left="714" w:hanging="357"/>
        <w:jc w:val="both"/>
        <w:rPr>
          <w:rFonts w:ascii="Barlow" w:hAnsi="Barlow" w:cs="Helvetica"/>
          <w:i/>
          <w:iCs/>
          <w:sz w:val="20"/>
          <w:szCs w:val="20"/>
          <w:lang w:val="en-GB"/>
        </w:rPr>
      </w:pPr>
      <w:r w:rsidRPr="6240E425">
        <w:rPr>
          <w:rFonts w:ascii="Barlow" w:hAnsi="Barlow" w:cs="Helvetica"/>
          <w:sz w:val="20"/>
          <w:szCs w:val="20"/>
          <w:lang w:val="en-GB"/>
        </w:rPr>
        <w:t xml:space="preserve">A </w:t>
      </w:r>
      <w:r w:rsidRPr="6240E425">
        <w:rPr>
          <w:rFonts w:ascii="Barlow" w:hAnsi="Barlow" w:cs="Helvetica"/>
          <w:b/>
          <w:bCs/>
          <w:sz w:val="20"/>
          <w:szCs w:val="20"/>
          <w:lang w:val="en-GB"/>
        </w:rPr>
        <w:t>multi-stakeholder and multi-level approach</w:t>
      </w:r>
    </w:p>
    <w:p w14:paraId="1E86F132" w14:textId="3940B346" w:rsidR="00400DD6" w:rsidRPr="00773F4B" w:rsidRDefault="00F92C31" w:rsidP="00DE6610">
      <w:pPr>
        <w:autoSpaceDE w:val="0"/>
        <w:autoSpaceDN w:val="0"/>
        <w:adjustRightInd w:val="0"/>
        <w:spacing w:before="120" w:after="120" w:line="280" w:lineRule="atLeast"/>
        <w:jc w:val="both"/>
        <w:rPr>
          <w:rFonts w:ascii="Barlow" w:hAnsi="Barlow" w:cs="Helvetica"/>
          <w:sz w:val="20"/>
          <w:szCs w:val="20"/>
          <w:lang w:val="en-GB"/>
        </w:rPr>
      </w:pPr>
      <w:r>
        <w:rPr>
          <w:rFonts w:ascii="Barlow" w:hAnsi="Barlow" w:cs="Helvetica"/>
          <w:sz w:val="20"/>
          <w:szCs w:val="20"/>
          <w:lang w:val="en-GB"/>
        </w:rPr>
        <w:t>To upgrade these tools and adapt them to today’s issues</w:t>
      </w:r>
      <w:r w:rsidR="00E02D52">
        <w:rPr>
          <w:rFonts w:ascii="Barlow" w:hAnsi="Barlow" w:cs="Helvetica"/>
          <w:sz w:val="20"/>
          <w:szCs w:val="20"/>
          <w:lang w:val="en-GB"/>
        </w:rPr>
        <w:t xml:space="preserve">, </w:t>
      </w:r>
      <w:r w:rsidR="00E02D52" w:rsidRPr="004B77B1">
        <w:rPr>
          <w:rFonts w:ascii="Barlow" w:hAnsi="Barlow" w:cs="Helvetica"/>
          <w:sz w:val="20"/>
          <w:szCs w:val="20"/>
          <w:lang w:val="en-GB"/>
        </w:rPr>
        <w:t>t</w:t>
      </w:r>
      <w:r w:rsidR="009310A1" w:rsidRPr="004B77B1">
        <w:rPr>
          <w:rFonts w:ascii="Barlow" w:hAnsi="Barlow" w:cs="Helvetica"/>
          <w:sz w:val="20"/>
          <w:szCs w:val="20"/>
          <w:lang w:val="en-GB"/>
        </w:rPr>
        <w:t xml:space="preserve">he creation and development of a </w:t>
      </w:r>
      <w:r w:rsidR="009310A1" w:rsidRPr="00F768F9">
        <w:rPr>
          <w:rFonts w:ascii="Barlow" w:hAnsi="Barlow" w:cs="Helvetica"/>
          <w:b/>
          <w:bCs/>
          <w:sz w:val="20"/>
          <w:szCs w:val="20"/>
          <w:lang w:val="en-GB"/>
        </w:rPr>
        <w:t xml:space="preserve">common </w:t>
      </w:r>
      <w:r w:rsidR="00867C08">
        <w:rPr>
          <w:rFonts w:ascii="Barlow" w:hAnsi="Barlow" w:cs="Helvetica"/>
          <w:b/>
          <w:bCs/>
          <w:sz w:val="20"/>
          <w:szCs w:val="20"/>
          <w:lang w:val="en-GB"/>
        </w:rPr>
        <w:t>framework</w:t>
      </w:r>
      <w:r w:rsidR="009310A1" w:rsidRPr="00F768F9">
        <w:rPr>
          <w:rFonts w:ascii="Barlow" w:hAnsi="Barlow" w:cs="Helvetica"/>
          <w:b/>
          <w:bCs/>
          <w:sz w:val="20"/>
          <w:szCs w:val="20"/>
          <w:lang w:val="en-GB"/>
        </w:rPr>
        <w:t xml:space="preserve"> </w:t>
      </w:r>
      <w:r w:rsidR="009310A1" w:rsidRPr="004B77B1">
        <w:rPr>
          <w:rFonts w:ascii="Barlow" w:hAnsi="Barlow" w:cs="Helvetica"/>
          <w:sz w:val="20"/>
          <w:szCs w:val="20"/>
          <w:lang w:val="en-GB"/>
        </w:rPr>
        <w:t xml:space="preserve">adapting each territory’s </w:t>
      </w:r>
      <w:r w:rsidR="009310A1" w:rsidRPr="00F768F9">
        <w:rPr>
          <w:rFonts w:ascii="Barlow" w:hAnsi="Barlow" w:cs="Helvetica"/>
          <w:b/>
          <w:bCs/>
          <w:sz w:val="20"/>
          <w:szCs w:val="20"/>
          <w:lang w:val="en-GB"/>
        </w:rPr>
        <w:t>local challenges</w:t>
      </w:r>
      <w:r w:rsidR="00400DD6" w:rsidRPr="004B77B1">
        <w:rPr>
          <w:rFonts w:ascii="Barlow" w:hAnsi="Barlow" w:cs="Helvetica"/>
          <w:sz w:val="20"/>
          <w:szCs w:val="20"/>
          <w:lang w:val="en-GB"/>
        </w:rPr>
        <w:t xml:space="preserve"> </w:t>
      </w:r>
      <w:r w:rsidR="009310A1" w:rsidRPr="004B77B1">
        <w:rPr>
          <w:rFonts w:ascii="Barlow" w:hAnsi="Barlow" w:cs="Helvetica"/>
          <w:sz w:val="20"/>
          <w:szCs w:val="20"/>
          <w:lang w:val="en-GB"/>
        </w:rPr>
        <w:t>will assist</w:t>
      </w:r>
      <w:r w:rsidR="0038264C" w:rsidRPr="004B77B1">
        <w:rPr>
          <w:rFonts w:ascii="Barlow" w:hAnsi="Barlow" w:cs="Helvetica"/>
          <w:sz w:val="20"/>
          <w:szCs w:val="20"/>
          <w:lang w:val="en-GB"/>
        </w:rPr>
        <w:t xml:space="preserve"> authorities in</w:t>
      </w:r>
      <w:r w:rsidR="00380C92" w:rsidRPr="004B77B1">
        <w:rPr>
          <w:rFonts w:ascii="Barlow" w:hAnsi="Barlow" w:cs="Helvetica"/>
          <w:sz w:val="20"/>
          <w:szCs w:val="20"/>
          <w:lang w:val="en-GB"/>
        </w:rPr>
        <w:t xml:space="preserve"> designing integrated urban </w:t>
      </w:r>
      <w:r w:rsidR="00380C92" w:rsidRPr="00773F4B">
        <w:rPr>
          <w:rFonts w:ascii="Barlow" w:hAnsi="Barlow" w:cs="Helvetica"/>
          <w:sz w:val="20"/>
          <w:szCs w:val="20"/>
          <w:lang w:val="en-GB"/>
        </w:rPr>
        <w:t>action policies and</w:t>
      </w:r>
      <w:r w:rsidR="0038264C" w:rsidRPr="00773F4B">
        <w:rPr>
          <w:rFonts w:ascii="Barlow" w:hAnsi="Barlow" w:cs="Helvetica"/>
          <w:sz w:val="20"/>
          <w:szCs w:val="20"/>
          <w:lang w:val="en-GB"/>
        </w:rPr>
        <w:t xml:space="preserve"> </w:t>
      </w:r>
      <w:r w:rsidR="00380C92" w:rsidRPr="00773F4B">
        <w:rPr>
          <w:rFonts w:ascii="Barlow" w:hAnsi="Barlow" w:cs="Helvetica"/>
          <w:sz w:val="20"/>
          <w:szCs w:val="20"/>
          <w:lang w:val="en-GB"/>
        </w:rPr>
        <w:t>managing the smooth run of sustainable urban</w:t>
      </w:r>
      <w:r w:rsidR="00400DD6" w:rsidRPr="00773F4B">
        <w:rPr>
          <w:rFonts w:ascii="Barlow" w:hAnsi="Barlow" w:cs="Helvetica"/>
          <w:sz w:val="20"/>
          <w:szCs w:val="20"/>
          <w:lang w:val="en-GB"/>
        </w:rPr>
        <w:t xml:space="preserve"> local </w:t>
      </w:r>
      <w:r w:rsidR="00E71D6F" w:rsidRPr="00773F4B">
        <w:rPr>
          <w:rFonts w:ascii="Barlow" w:hAnsi="Barlow" w:cs="Helvetica"/>
          <w:sz w:val="20"/>
          <w:szCs w:val="20"/>
          <w:lang w:val="en-GB"/>
        </w:rPr>
        <w:t xml:space="preserve">policies </w:t>
      </w:r>
      <w:r w:rsidR="0038264C" w:rsidRPr="00773F4B">
        <w:rPr>
          <w:rFonts w:ascii="Barlow" w:hAnsi="Barlow" w:cs="Helvetica"/>
          <w:sz w:val="20"/>
          <w:szCs w:val="20"/>
          <w:lang w:val="en-GB"/>
        </w:rPr>
        <w:t>through local actions.</w:t>
      </w:r>
      <w:r w:rsidR="00400DD6" w:rsidRPr="00773F4B">
        <w:rPr>
          <w:rFonts w:ascii="Barlow" w:hAnsi="Barlow" w:cs="Helvetica"/>
          <w:sz w:val="20"/>
          <w:szCs w:val="20"/>
          <w:lang w:val="en-GB"/>
        </w:rPr>
        <w:t xml:space="preserve"> </w:t>
      </w:r>
    </w:p>
    <w:p w14:paraId="39DFD21F" w14:textId="1E70A206" w:rsidR="0038264C" w:rsidRPr="00F768F9" w:rsidRDefault="004E6EB9" w:rsidP="00DE6610">
      <w:pPr>
        <w:autoSpaceDE w:val="0"/>
        <w:autoSpaceDN w:val="0"/>
        <w:adjustRightInd w:val="0"/>
        <w:spacing w:before="120" w:after="120" w:line="280" w:lineRule="atLeast"/>
        <w:jc w:val="both"/>
        <w:rPr>
          <w:rFonts w:ascii="Barlow" w:hAnsi="Barlow" w:cs="Helvetica"/>
          <w:b/>
          <w:bCs/>
          <w:sz w:val="20"/>
          <w:szCs w:val="20"/>
          <w:lang w:val="en-GB"/>
        </w:rPr>
      </w:pPr>
      <w:r w:rsidRPr="00773F4B">
        <w:rPr>
          <w:rFonts w:ascii="Barlow" w:hAnsi="Barlow" w:cs="Helvetica"/>
          <w:sz w:val="20"/>
          <w:szCs w:val="20"/>
          <w:lang w:val="en-GB"/>
        </w:rPr>
        <w:t xml:space="preserve">Following the </w:t>
      </w:r>
      <w:r w:rsidR="00966574" w:rsidRPr="00773F4B">
        <w:rPr>
          <w:rFonts w:ascii="Barlow" w:hAnsi="Barlow" w:cs="Helvetica"/>
          <w:sz w:val="20"/>
          <w:szCs w:val="20"/>
          <w:lang w:val="en-GB"/>
        </w:rPr>
        <w:t xml:space="preserve">various experiences of the members of the partnership both innovative and complementary, </w:t>
      </w:r>
      <w:r w:rsidR="00F14A0B">
        <w:rPr>
          <w:rFonts w:ascii="Barlow" w:hAnsi="Barlow" w:cs="Helvetica"/>
          <w:sz w:val="20"/>
          <w:szCs w:val="20"/>
          <w:lang w:val="en-GB"/>
        </w:rPr>
        <w:t xml:space="preserve">the </w:t>
      </w:r>
      <w:r w:rsidR="00383702" w:rsidRPr="00F768F9">
        <w:rPr>
          <w:rFonts w:ascii="Barlow" w:hAnsi="Barlow" w:cs="Helvetica"/>
          <w:b/>
          <w:bCs/>
          <w:iCs/>
          <w:sz w:val="20"/>
          <w:szCs w:val="20"/>
          <w:lang w:val="en-GB"/>
        </w:rPr>
        <w:t>Greater</w:t>
      </w:r>
      <w:r w:rsidR="00966574" w:rsidRPr="00F768F9">
        <w:rPr>
          <w:rFonts w:ascii="Barlow" w:hAnsi="Barlow" w:cs="Helvetica"/>
          <w:b/>
          <w:bCs/>
          <w:iCs/>
          <w:sz w:val="20"/>
          <w:szCs w:val="20"/>
          <w:lang w:val="en-GB"/>
        </w:rPr>
        <w:t xml:space="preserve"> Paris</w:t>
      </w:r>
      <w:r w:rsidR="00383702" w:rsidRPr="00F768F9">
        <w:rPr>
          <w:rFonts w:ascii="Barlow" w:hAnsi="Barlow" w:cs="Helvetica"/>
          <w:b/>
          <w:bCs/>
          <w:iCs/>
          <w:sz w:val="20"/>
          <w:szCs w:val="20"/>
          <w:lang w:val="en-GB"/>
        </w:rPr>
        <w:t xml:space="preserve"> Metropolis</w:t>
      </w:r>
      <w:r w:rsidR="00966574" w:rsidRPr="00773F4B">
        <w:rPr>
          <w:rFonts w:ascii="Barlow" w:hAnsi="Barlow" w:cs="Helvetica"/>
          <w:sz w:val="20"/>
          <w:szCs w:val="20"/>
          <w:lang w:val="en-GB"/>
        </w:rPr>
        <w:t xml:space="preserve">, leading this project, </w:t>
      </w:r>
      <w:r w:rsidRPr="00773F4B">
        <w:rPr>
          <w:rFonts w:ascii="Barlow" w:hAnsi="Barlow" w:cs="Helvetica"/>
          <w:sz w:val="20"/>
          <w:szCs w:val="20"/>
          <w:lang w:val="en-GB"/>
        </w:rPr>
        <w:t xml:space="preserve">is </w:t>
      </w:r>
      <w:r w:rsidR="0038264C" w:rsidRPr="00773F4B">
        <w:rPr>
          <w:rFonts w:ascii="Barlow" w:hAnsi="Barlow" w:cs="Helvetica"/>
          <w:sz w:val="20"/>
          <w:szCs w:val="20"/>
          <w:lang w:val="en-GB"/>
        </w:rPr>
        <w:t>currently working on</w:t>
      </w:r>
      <w:r w:rsidRPr="00773F4B">
        <w:rPr>
          <w:rFonts w:ascii="Barlow" w:hAnsi="Barlow" w:cs="Helvetica"/>
          <w:sz w:val="20"/>
          <w:szCs w:val="20"/>
          <w:lang w:val="en-GB"/>
        </w:rPr>
        <w:t xml:space="preserve"> </w:t>
      </w:r>
      <w:r w:rsidR="009E2C3D" w:rsidRPr="00773F4B">
        <w:rPr>
          <w:rFonts w:ascii="Barlow" w:hAnsi="Barlow" w:cs="Helvetica"/>
          <w:sz w:val="20"/>
          <w:szCs w:val="20"/>
          <w:lang w:val="en-GB"/>
        </w:rPr>
        <w:t>applying</w:t>
      </w:r>
      <w:r w:rsidRPr="00773F4B">
        <w:rPr>
          <w:rFonts w:ascii="Barlow" w:hAnsi="Barlow" w:cs="Helvetica"/>
          <w:sz w:val="20"/>
          <w:szCs w:val="20"/>
          <w:lang w:val="en-GB"/>
        </w:rPr>
        <w:t xml:space="preserve"> for </w:t>
      </w:r>
      <w:r w:rsidRPr="00F768F9">
        <w:rPr>
          <w:rFonts w:ascii="Barlow" w:hAnsi="Barlow" w:cs="Helvetica"/>
          <w:b/>
          <w:bCs/>
          <w:sz w:val="20"/>
          <w:szCs w:val="20"/>
          <w:lang w:val="en-GB"/>
        </w:rPr>
        <w:t xml:space="preserve">an </w:t>
      </w:r>
      <w:r w:rsidR="000B769A" w:rsidRPr="00F768F9">
        <w:rPr>
          <w:rFonts w:ascii="Barlow" w:hAnsi="Barlow" w:cs="Helvetica"/>
          <w:b/>
          <w:bCs/>
          <w:sz w:val="20"/>
          <w:szCs w:val="20"/>
          <w:lang w:val="en-GB"/>
        </w:rPr>
        <w:t>URBACT IV</w:t>
      </w:r>
      <w:r w:rsidR="00966574" w:rsidRPr="00F768F9">
        <w:rPr>
          <w:rFonts w:ascii="Barlow" w:hAnsi="Barlow" w:cs="Helvetica"/>
          <w:b/>
          <w:bCs/>
          <w:sz w:val="20"/>
          <w:szCs w:val="20"/>
          <w:lang w:val="en-GB"/>
        </w:rPr>
        <w:t xml:space="preserve"> </w:t>
      </w:r>
      <w:r w:rsidR="009310A1" w:rsidRPr="00F768F9">
        <w:rPr>
          <w:rFonts w:ascii="Barlow" w:hAnsi="Barlow" w:cs="Helvetica"/>
          <w:b/>
          <w:bCs/>
          <w:sz w:val="20"/>
          <w:szCs w:val="20"/>
          <w:lang w:val="en-GB"/>
        </w:rPr>
        <w:t>Action Planning N</w:t>
      </w:r>
      <w:r w:rsidR="00966574" w:rsidRPr="00F768F9">
        <w:rPr>
          <w:rFonts w:ascii="Barlow" w:hAnsi="Barlow" w:cs="Helvetica"/>
          <w:b/>
          <w:bCs/>
          <w:sz w:val="20"/>
          <w:szCs w:val="20"/>
          <w:lang w:val="en-GB"/>
        </w:rPr>
        <w:t xml:space="preserve">etwork </w:t>
      </w:r>
      <w:r w:rsidRPr="00F768F9">
        <w:rPr>
          <w:rFonts w:ascii="Barlow" w:hAnsi="Barlow" w:cs="Helvetica"/>
          <w:b/>
          <w:bCs/>
          <w:sz w:val="20"/>
          <w:szCs w:val="20"/>
          <w:lang w:val="en-GB"/>
        </w:rPr>
        <w:t xml:space="preserve">type project. </w:t>
      </w:r>
    </w:p>
    <w:p w14:paraId="661FDB36" w14:textId="77777777" w:rsidR="00DB6993" w:rsidRPr="009E6059" w:rsidRDefault="00DB6993" w:rsidP="00DE6610">
      <w:pPr>
        <w:spacing w:before="120" w:after="120" w:line="280" w:lineRule="atLeast"/>
        <w:contextualSpacing/>
        <w:rPr>
          <w:rFonts w:ascii="Arial" w:hAnsi="Arial" w:cs="Arial"/>
          <w:i/>
          <w:iCs/>
          <w:color w:val="00C4C4"/>
          <w:sz w:val="20"/>
          <w:szCs w:val="20"/>
          <w:lang w:val="en-US"/>
        </w:rPr>
      </w:pPr>
      <w:r w:rsidRPr="009E6059">
        <w:rPr>
          <w:rFonts w:ascii="Arial" w:hAnsi="Arial" w:cs="Arial"/>
          <w:i/>
          <w:iCs/>
          <w:color w:val="00C4C4"/>
          <w:sz w:val="20"/>
          <w:szCs w:val="20"/>
          <w:lang w:val="en-US"/>
        </w:rPr>
        <w:t>“T</w:t>
      </w:r>
      <w:r w:rsidRPr="00DB6993">
        <w:rPr>
          <w:rFonts w:ascii="Arial" w:hAnsi="Arial" w:cs="Arial"/>
          <w:i/>
          <w:iCs/>
          <w:color w:val="00C4C4"/>
          <w:sz w:val="20"/>
          <w:szCs w:val="20"/>
          <w:lang w:val="en-US"/>
        </w:rPr>
        <w:t xml:space="preserve">he Action Planning Networks, this scope includes the five policy objectives as defined in Article 3 of the ERDF regulation (EU) 2021/1058: </w:t>
      </w:r>
    </w:p>
    <w:p w14:paraId="6F298985" w14:textId="77777777" w:rsidR="00DB6993" w:rsidRPr="009E6059" w:rsidRDefault="00DB6993" w:rsidP="00DE6610">
      <w:pPr>
        <w:numPr>
          <w:ilvl w:val="0"/>
          <w:numId w:val="5"/>
        </w:numPr>
        <w:spacing w:before="120" w:after="120" w:line="280" w:lineRule="atLeast"/>
        <w:contextualSpacing/>
        <w:jc w:val="both"/>
        <w:rPr>
          <w:rFonts w:ascii="Arial" w:hAnsi="Arial" w:cs="Arial"/>
          <w:i/>
          <w:iCs/>
          <w:color w:val="00C4C4"/>
          <w:sz w:val="20"/>
          <w:szCs w:val="20"/>
          <w:lang w:val="en-US"/>
        </w:rPr>
      </w:pPr>
      <w:r w:rsidRPr="00DB6993">
        <w:rPr>
          <w:rFonts w:ascii="Arial" w:hAnsi="Arial" w:cs="Arial"/>
          <w:i/>
          <w:iCs/>
          <w:color w:val="00C4C4"/>
          <w:sz w:val="20"/>
          <w:szCs w:val="20"/>
          <w:lang w:val="en-US"/>
        </w:rPr>
        <w:t xml:space="preserve">a more competitive and smarter Europe by promoting innovative and smart economic transformation and regional ICT </w:t>
      </w:r>
      <w:proofErr w:type="gramStart"/>
      <w:r w:rsidRPr="00DB6993">
        <w:rPr>
          <w:rFonts w:ascii="Arial" w:hAnsi="Arial" w:cs="Arial"/>
          <w:i/>
          <w:iCs/>
          <w:color w:val="00C4C4"/>
          <w:sz w:val="20"/>
          <w:szCs w:val="20"/>
          <w:lang w:val="en-US"/>
        </w:rPr>
        <w:t>connectivity;</w:t>
      </w:r>
      <w:proofErr w:type="gramEnd"/>
      <w:r w:rsidRPr="00DB6993">
        <w:rPr>
          <w:rFonts w:ascii="Arial" w:hAnsi="Arial" w:cs="Arial"/>
          <w:i/>
          <w:iCs/>
          <w:color w:val="00C4C4"/>
          <w:sz w:val="20"/>
          <w:szCs w:val="20"/>
          <w:lang w:val="en-US"/>
        </w:rPr>
        <w:t xml:space="preserve"> </w:t>
      </w:r>
    </w:p>
    <w:p w14:paraId="278DAA87" w14:textId="77777777" w:rsidR="00DB6993" w:rsidRPr="009E6059" w:rsidRDefault="00DB6993" w:rsidP="00DE6610">
      <w:pPr>
        <w:numPr>
          <w:ilvl w:val="0"/>
          <w:numId w:val="5"/>
        </w:numPr>
        <w:spacing w:before="120" w:after="120" w:line="280" w:lineRule="atLeast"/>
        <w:contextualSpacing/>
        <w:jc w:val="both"/>
        <w:rPr>
          <w:rFonts w:ascii="Arial" w:hAnsi="Arial" w:cs="Arial"/>
          <w:i/>
          <w:iCs/>
          <w:color w:val="00C4C4"/>
          <w:sz w:val="20"/>
          <w:szCs w:val="20"/>
          <w:lang w:val="en-US"/>
        </w:rPr>
      </w:pPr>
      <w:r w:rsidRPr="00DB6993">
        <w:rPr>
          <w:rFonts w:ascii="Arial" w:hAnsi="Arial" w:cs="Arial"/>
          <w:i/>
          <w:iCs/>
          <w:color w:val="00C4C4"/>
          <w:sz w:val="20"/>
          <w:szCs w:val="20"/>
          <w:lang w:val="en-US"/>
        </w:rPr>
        <w:t xml:space="preserve">a greener, low-carbon transitioning towards a net zero carbon economy and resilient Europe by promoting clean and fair energy transition, green and blue investment, the circular economy, climate change mitigation and adaptation, risk prevention and management, and sustainable urban </w:t>
      </w:r>
      <w:proofErr w:type="gramStart"/>
      <w:r w:rsidRPr="00DB6993">
        <w:rPr>
          <w:rFonts w:ascii="Arial" w:hAnsi="Arial" w:cs="Arial"/>
          <w:i/>
          <w:iCs/>
          <w:color w:val="00C4C4"/>
          <w:sz w:val="20"/>
          <w:szCs w:val="20"/>
          <w:lang w:val="en-US"/>
        </w:rPr>
        <w:t>mobility;</w:t>
      </w:r>
      <w:proofErr w:type="gramEnd"/>
    </w:p>
    <w:p w14:paraId="00D3D696" w14:textId="77777777" w:rsidR="00DB6993" w:rsidRPr="009E6059" w:rsidRDefault="00DB6993" w:rsidP="00DE6610">
      <w:pPr>
        <w:numPr>
          <w:ilvl w:val="0"/>
          <w:numId w:val="5"/>
        </w:numPr>
        <w:spacing w:before="120" w:after="120" w:line="280" w:lineRule="atLeast"/>
        <w:contextualSpacing/>
        <w:jc w:val="both"/>
        <w:rPr>
          <w:rFonts w:ascii="Arial" w:hAnsi="Arial" w:cs="Arial"/>
          <w:i/>
          <w:iCs/>
          <w:color w:val="00C4C4"/>
          <w:sz w:val="20"/>
          <w:szCs w:val="20"/>
          <w:lang w:val="en-US"/>
        </w:rPr>
      </w:pPr>
      <w:r w:rsidRPr="00DB6993">
        <w:rPr>
          <w:rFonts w:ascii="Arial" w:hAnsi="Arial" w:cs="Arial"/>
          <w:i/>
          <w:iCs/>
          <w:color w:val="00C4C4"/>
          <w:sz w:val="20"/>
          <w:szCs w:val="20"/>
          <w:lang w:val="en-US"/>
        </w:rPr>
        <w:t xml:space="preserve">a more connected Europe by enhancing </w:t>
      </w:r>
      <w:proofErr w:type="gramStart"/>
      <w:r w:rsidRPr="00DB6993">
        <w:rPr>
          <w:rFonts w:ascii="Arial" w:hAnsi="Arial" w:cs="Arial"/>
          <w:i/>
          <w:iCs/>
          <w:color w:val="00C4C4"/>
          <w:sz w:val="20"/>
          <w:szCs w:val="20"/>
          <w:lang w:val="en-US"/>
        </w:rPr>
        <w:t>mobility;</w:t>
      </w:r>
      <w:proofErr w:type="gramEnd"/>
      <w:r w:rsidRPr="00DB6993">
        <w:rPr>
          <w:rFonts w:ascii="Arial" w:hAnsi="Arial" w:cs="Arial"/>
          <w:i/>
          <w:iCs/>
          <w:color w:val="00C4C4"/>
          <w:sz w:val="20"/>
          <w:szCs w:val="20"/>
          <w:lang w:val="en-US"/>
        </w:rPr>
        <w:t xml:space="preserve"> </w:t>
      </w:r>
    </w:p>
    <w:p w14:paraId="59DBEE4A" w14:textId="77777777" w:rsidR="00DB6993" w:rsidRPr="009E6059" w:rsidRDefault="00DB6993" w:rsidP="00DE6610">
      <w:pPr>
        <w:numPr>
          <w:ilvl w:val="0"/>
          <w:numId w:val="5"/>
        </w:numPr>
        <w:spacing w:before="120" w:after="120" w:line="280" w:lineRule="atLeast"/>
        <w:contextualSpacing/>
        <w:jc w:val="both"/>
        <w:rPr>
          <w:rFonts w:ascii="Arial" w:hAnsi="Arial" w:cs="Arial"/>
          <w:i/>
          <w:iCs/>
          <w:color w:val="00C4C4"/>
          <w:sz w:val="20"/>
          <w:szCs w:val="20"/>
          <w:lang w:val="en-US"/>
        </w:rPr>
      </w:pPr>
      <w:r w:rsidRPr="00DB6993">
        <w:rPr>
          <w:rFonts w:ascii="Arial" w:hAnsi="Arial" w:cs="Arial"/>
          <w:i/>
          <w:iCs/>
          <w:color w:val="00C4C4"/>
          <w:sz w:val="20"/>
          <w:szCs w:val="20"/>
          <w:lang w:val="en-US"/>
        </w:rPr>
        <w:t xml:space="preserve">a more social and inclusive Europe implementing the European Pillar of Social </w:t>
      </w:r>
      <w:proofErr w:type="gramStart"/>
      <w:r w:rsidRPr="00DB6993">
        <w:rPr>
          <w:rFonts w:ascii="Arial" w:hAnsi="Arial" w:cs="Arial"/>
          <w:i/>
          <w:iCs/>
          <w:color w:val="00C4C4"/>
          <w:sz w:val="20"/>
          <w:szCs w:val="20"/>
          <w:lang w:val="en-US"/>
        </w:rPr>
        <w:t>Rights;</w:t>
      </w:r>
      <w:proofErr w:type="gramEnd"/>
      <w:r w:rsidRPr="00DB6993">
        <w:rPr>
          <w:rFonts w:ascii="Arial" w:hAnsi="Arial" w:cs="Arial"/>
          <w:i/>
          <w:iCs/>
          <w:color w:val="00C4C4"/>
          <w:sz w:val="20"/>
          <w:szCs w:val="20"/>
          <w:lang w:val="en-US"/>
        </w:rPr>
        <w:t xml:space="preserve"> </w:t>
      </w:r>
    </w:p>
    <w:p w14:paraId="3AC4F995" w14:textId="77777777" w:rsidR="00773F4B" w:rsidRDefault="00DB6993" w:rsidP="00773F4B">
      <w:pPr>
        <w:numPr>
          <w:ilvl w:val="0"/>
          <w:numId w:val="5"/>
        </w:numPr>
        <w:spacing w:before="120" w:after="120" w:line="280" w:lineRule="atLeast"/>
        <w:contextualSpacing/>
        <w:jc w:val="both"/>
        <w:rPr>
          <w:rFonts w:ascii="Arial" w:hAnsi="Arial" w:cs="Arial"/>
          <w:i/>
          <w:iCs/>
          <w:color w:val="00C4C4"/>
          <w:sz w:val="20"/>
          <w:szCs w:val="20"/>
          <w:lang w:val="en-US"/>
        </w:rPr>
      </w:pPr>
      <w:r w:rsidRPr="00DB6993">
        <w:rPr>
          <w:rFonts w:ascii="Arial" w:hAnsi="Arial" w:cs="Arial"/>
          <w:i/>
          <w:iCs/>
          <w:color w:val="00C4C4"/>
          <w:sz w:val="20"/>
          <w:szCs w:val="20"/>
          <w:lang w:val="en-US"/>
        </w:rPr>
        <w:t>a Europe closer to citizens by fostering the sustainable and integrated development of all types of territories and local initiatives</w:t>
      </w:r>
      <w:r w:rsidR="008C75D7" w:rsidRPr="009E6059">
        <w:rPr>
          <w:rFonts w:ascii="Barlow" w:hAnsi="Barlow" w:cs="Helvetica"/>
          <w:i/>
          <w:color w:val="00C4C4"/>
          <w:sz w:val="20"/>
          <w:szCs w:val="20"/>
          <w:lang w:val="en-GB"/>
        </w:rPr>
        <w:t>.”</w:t>
      </w:r>
    </w:p>
    <w:p w14:paraId="293FD0EE" w14:textId="0AA9F751" w:rsidR="004B77B1" w:rsidRPr="00773F4B" w:rsidRDefault="008C75D7" w:rsidP="00773F4B">
      <w:pPr>
        <w:spacing w:before="120" w:after="120" w:line="280" w:lineRule="atLeast"/>
        <w:contextualSpacing/>
        <w:jc w:val="both"/>
        <w:rPr>
          <w:rFonts w:ascii="Arial" w:hAnsi="Arial" w:cs="Arial"/>
          <w:i/>
          <w:iCs/>
          <w:color w:val="00C4C4"/>
          <w:sz w:val="20"/>
          <w:szCs w:val="20"/>
          <w:lang w:val="en-US"/>
        </w:rPr>
      </w:pPr>
      <w:proofErr w:type="gramStart"/>
      <w:r w:rsidRPr="00773F4B">
        <w:rPr>
          <w:rFonts w:ascii="Barlow" w:hAnsi="Barlow" w:cs="Helvetica"/>
          <w:sz w:val="20"/>
          <w:szCs w:val="20"/>
          <w:lang w:val="en-GB"/>
        </w:rPr>
        <w:t xml:space="preserve">In </w:t>
      </w:r>
      <w:r w:rsidRPr="002C7527">
        <w:rPr>
          <w:rFonts w:ascii="Barlow" w:hAnsi="Barlow" w:cs="Helvetica"/>
          <w:sz w:val="20"/>
          <w:szCs w:val="20"/>
          <w:lang w:val="en-GB"/>
        </w:rPr>
        <w:t>an effort to</w:t>
      </w:r>
      <w:proofErr w:type="gramEnd"/>
      <w:r w:rsidRPr="002C7527">
        <w:rPr>
          <w:rFonts w:ascii="Barlow" w:hAnsi="Barlow" w:cs="Helvetica"/>
          <w:sz w:val="20"/>
          <w:szCs w:val="20"/>
          <w:lang w:val="en-GB"/>
        </w:rPr>
        <w:t xml:space="preserve"> respond in the best and most coordinated way to the challenges listed hereabove</w:t>
      </w:r>
      <w:r w:rsidR="009F7B61" w:rsidRPr="002C7527">
        <w:rPr>
          <w:rFonts w:ascii="Barlow" w:hAnsi="Barlow" w:cs="Helvetica"/>
          <w:sz w:val="20"/>
          <w:szCs w:val="20"/>
          <w:lang w:val="en-GB"/>
        </w:rPr>
        <w:t xml:space="preserve">, </w:t>
      </w:r>
      <w:proofErr w:type="spellStart"/>
      <w:r w:rsidR="00A23947" w:rsidRPr="002C7527">
        <w:rPr>
          <w:rFonts w:ascii="Barlow" w:hAnsi="Barlow"/>
          <w:b/>
          <w:sz w:val="20"/>
          <w:szCs w:val="20"/>
          <w:lang w:val="en-US"/>
        </w:rPr>
        <w:t>Cities@Heart</w:t>
      </w:r>
      <w:proofErr w:type="spellEnd"/>
      <w:r w:rsidR="00A23947" w:rsidRPr="002C7527">
        <w:rPr>
          <w:rFonts w:ascii="Barlow" w:hAnsi="Barlow"/>
          <w:b/>
          <w:sz w:val="20"/>
          <w:szCs w:val="20"/>
          <w:lang w:val="en-US"/>
        </w:rPr>
        <w:t xml:space="preserve"> </w:t>
      </w:r>
      <w:r w:rsidR="00D16868" w:rsidRPr="002C7527">
        <w:rPr>
          <w:rFonts w:ascii="Barlow" w:hAnsi="Barlow" w:cs="Helvetica"/>
          <w:sz w:val="20"/>
          <w:szCs w:val="20"/>
          <w:lang w:val="en-GB"/>
        </w:rPr>
        <w:t>aim</w:t>
      </w:r>
      <w:r w:rsidR="009E6059" w:rsidRPr="002C7527">
        <w:rPr>
          <w:rFonts w:ascii="Barlow" w:hAnsi="Barlow" w:cs="Helvetica"/>
          <w:sz w:val="20"/>
          <w:szCs w:val="20"/>
          <w:lang w:val="en-GB"/>
        </w:rPr>
        <w:t xml:space="preserve">s at </w:t>
      </w:r>
      <w:r w:rsidR="009F7B61" w:rsidRPr="002C7527">
        <w:rPr>
          <w:rFonts w:ascii="Barlow" w:hAnsi="Barlow" w:cs="Helvetica"/>
          <w:sz w:val="20"/>
          <w:szCs w:val="20"/>
          <w:lang w:val="en-GB"/>
        </w:rPr>
        <w:t>lead</w:t>
      </w:r>
      <w:r w:rsidR="009E6059" w:rsidRPr="002C7527">
        <w:rPr>
          <w:rFonts w:ascii="Barlow" w:hAnsi="Barlow" w:cs="Helvetica"/>
          <w:sz w:val="20"/>
          <w:szCs w:val="20"/>
          <w:lang w:val="en-GB"/>
        </w:rPr>
        <w:t>ing</w:t>
      </w:r>
      <w:r w:rsidR="009F7B61" w:rsidRPr="002C7527">
        <w:rPr>
          <w:rFonts w:ascii="Barlow" w:hAnsi="Barlow" w:cs="Helvetica"/>
          <w:sz w:val="20"/>
          <w:szCs w:val="20"/>
          <w:lang w:val="en-GB"/>
        </w:rPr>
        <w:t xml:space="preserve"> </w:t>
      </w:r>
      <w:r w:rsidR="0038264C" w:rsidRPr="002C7527">
        <w:rPr>
          <w:rFonts w:ascii="Barlow" w:hAnsi="Barlow" w:cs="Helvetica"/>
          <w:sz w:val="20"/>
          <w:szCs w:val="20"/>
          <w:lang w:val="en-GB"/>
        </w:rPr>
        <w:t>partners to share experiences to create an</w:t>
      </w:r>
      <w:r w:rsidR="00D16868" w:rsidRPr="002C7527">
        <w:rPr>
          <w:rFonts w:ascii="Barlow" w:hAnsi="Barlow" w:cs="Helvetica"/>
          <w:sz w:val="20"/>
          <w:szCs w:val="20"/>
          <w:lang w:val="en-GB"/>
        </w:rPr>
        <w:t>d</w:t>
      </w:r>
      <w:r w:rsidR="0038264C" w:rsidRPr="002C7527">
        <w:rPr>
          <w:rFonts w:ascii="Barlow" w:hAnsi="Barlow" w:cs="Helvetica"/>
          <w:sz w:val="20"/>
          <w:szCs w:val="20"/>
          <w:lang w:val="en-GB"/>
        </w:rPr>
        <w:t xml:space="preserve"> develop a </w:t>
      </w:r>
      <w:r w:rsidR="0038264C" w:rsidRPr="002C7527">
        <w:rPr>
          <w:rFonts w:ascii="Barlow" w:hAnsi="Barlow" w:cs="Helvetica"/>
          <w:b/>
          <w:bCs/>
          <w:sz w:val="20"/>
          <w:szCs w:val="20"/>
          <w:lang w:val="en-GB"/>
        </w:rPr>
        <w:t>common methodology</w:t>
      </w:r>
      <w:r w:rsidR="0038264C" w:rsidRPr="002C7527">
        <w:rPr>
          <w:rFonts w:ascii="Barlow" w:hAnsi="Barlow" w:cs="Helvetica"/>
          <w:sz w:val="20"/>
          <w:szCs w:val="20"/>
          <w:lang w:val="en-GB"/>
        </w:rPr>
        <w:t xml:space="preserve"> </w:t>
      </w:r>
      <w:r w:rsidR="009F7B61" w:rsidRPr="002C7527">
        <w:rPr>
          <w:rFonts w:ascii="Barlow" w:hAnsi="Barlow" w:cs="Helvetica"/>
          <w:sz w:val="20"/>
          <w:szCs w:val="20"/>
          <w:lang w:val="en-GB"/>
        </w:rPr>
        <w:t xml:space="preserve">to </w:t>
      </w:r>
      <w:r w:rsidR="0038264C" w:rsidRPr="002C7527">
        <w:rPr>
          <w:rFonts w:ascii="Barlow" w:hAnsi="Barlow" w:cs="Helvetica"/>
          <w:sz w:val="20"/>
          <w:szCs w:val="20"/>
          <w:lang w:val="en-GB"/>
        </w:rPr>
        <w:t>adapt each territory</w:t>
      </w:r>
      <w:r w:rsidR="0038264C" w:rsidRPr="00773F4B">
        <w:rPr>
          <w:rFonts w:ascii="Barlow" w:hAnsi="Barlow" w:cs="Helvetica"/>
          <w:sz w:val="20"/>
          <w:szCs w:val="20"/>
          <w:lang w:val="en-GB"/>
        </w:rPr>
        <w:t xml:space="preserve"> locally</w:t>
      </w:r>
      <w:r w:rsidR="00CF11F6">
        <w:rPr>
          <w:rFonts w:ascii="Barlow" w:hAnsi="Barlow" w:cs="Helvetica"/>
          <w:sz w:val="20"/>
          <w:szCs w:val="20"/>
          <w:lang w:val="en-GB"/>
        </w:rPr>
        <w:t xml:space="preserve"> that </w:t>
      </w:r>
      <w:r w:rsidR="0038264C" w:rsidRPr="00773F4B">
        <w:rPr>
          <w:rFonts w:ascii="Barlow" w:hAnsi="Barlow" w:cs="Helvetica"/>
          <w:sz w:val="20"/>
          <w:szCs w:val="20"/>
          <w:lang w:val="en-GB"/>
        </w:rPr>
        <w:t xml:space="preserve">will </w:t>
      </w:r>
      <w:r w:rsidR="00773F4B" w:rsidRPr="00773F4B">
        <w:rPr>
          <w:rFonts w:ascii="Barlow" w:hAnsi="Barlow" w:cs="Helvetica"/>
          <w:sz w:val="20"/>
          <w:szCs w:val="20"/>
          <w:lang w:val="en-GB"/>
        </w:rPr>
        <w:t>include:</w:t>
      </w:r>
    </w:p>
    <w:p w14:paraId="698D2326" w14:textId="25C07E43" w:rsidR="004B77B1" w:rsidRDefault="00CF11F6" w:rsidP="004B77B1">
      <w:pPr>
        <w:pStyle w:val="Paragraphedeliste"/>
        <w:numPr>
          <w:ilvl w:val="0"/>
          <w:numId w:val="7"/>
        </w:numPr>
        <w:autoSpaceDE w:val="0"/>
        <w:autoSpaceDN w:val="0"/>
        <w:adjustRightInd w:val="0"/>
        <w:spacing w:before="120" w:after="120" w:line="280" w:lineRule="atLeast"/>
        <w:jc w:val="both"/>
        <w:rPr>
          <w:rFonts w:ascii="Barlow" w:hAnsi="Barlow" w:cs="Helvetica"/>
          <w:b/>
          <w:bCs/>
          <w:sz w:val="20"/>
          <w:szCs w:val="20"/>
          <w:lang w:val="en-GB"/>
        </w:rPr>
      </w:pPr>
      <w:r>
        <w:rPr>
          <w:rFonts w:ascii="Barlow" w:hAnsi="Barlow" w:cs="Helvetica"/>
          <w:b/>
          <w:bCs/>
          <w:sz w:val="20"/>
          <w:szCs w:val="20"/>
          <w:lang w:val="en-GB"/>
        </w:rPr>
        <w:t>A benchmark of g</w:t>
      </w:r>
      <w:r w:rsidR="00FC36B3" w:rsidRPr="003F5EB4">
        <w:rPr>
          <w:rFonts w:ascii="Barlow" w:hAnsi="Barlow" w:cs="Helvetica"/>
          <w:b/>
          <w:bCs/>
          <w:sz w:val="20"/>
          <w:szCs w:val="20"/>
          <w:lang w:val="en-GB"/>
        </w:rPr>
        <w:t>ood practices of governance</w:t>
      </w:r>
      <w:r w:rsidR="007D635D">
        <w:rPr>
          <w:rFonts w:ascii="Barlow" w:hAnsi="Barlow" w:cs="Helvetica"/>
          <w:b/>
          <w:bCs/>
          <w:sz w:val="20"/>
          <w:szCs w:val="20"/>
          <w:lang w:val="en-GB"/>
        </w:rPr>
        <w:t xml:space="preserve"> and policy evaluation</w:t>
      </w:r>
    </w:p>
    <w:p w14:paraId="3C3F080E" w14:textId="77777777" w:rsidR="002E7684" w:rsidRDefault="004B77B1" w:rsidP="002E7684">
      <w:pPr>
        <w:pStyle w:val="Paragraphedeliste"/>
        <w:numPr>
          <w:ilvl w:val="0"/>
          <w:numId w:val="7"/>
        </w:numPr>
        <w:autoSpaceDE w:val="0"/>
        <w:autoSpaceDN w:val="0"/>
        <w:adjustRightInd w:val="0"/>
        <w:spacing w:before="120" w:after="120" w:line="280" w:lineRule="atLeast"/>
        <w:jc w:val="both"/>
        <w:rPr>
          <w:rFonts w:ascii="Barlow" w:hAnsi="Barlow" w:cs="Helvetica"/>
          <w:sz w:val="20"/>
          <w:szCs w:val="20"/>
          <w:lang w:val="en-GB"/>
        </w:rPr>
      </w:pPr>
      <w:r w:rsidRPr="002E7684">
        <w:rPr>
          <w:rFonts w:ascii="Barlow" w:hAnsi="Barlow" w:cs="Helvetica"/>
          <w:sz w:val="20"/>
          <w:szCs w:val="20"/>
          <w:lang w:val="en-GB"/>
        </w:rPr>
        <w:lastRenderedPageBreak/>
        <w:t>Th</w:t>
      </w:r>
      <w:r w:rsidR="00FC36B3" w:rsidRPr="002E7684">
        <w:rPr>
          <w:rFonts w:ascii="Barlow" w:hAnsi="Barlow" w:cs="Helvetica"/>
          <w:sz w:val="20"/>
          <w:szCs w:val="20"/>
          <w:lang w:val="en-GB"/>
        </w:rPr>
        <w:t xml:space="preserve">e </w:t>
      </w:r>
      <w:r w:rsidR="00D16868" w:rsidRPr="002E7684">
        <w:rPr>
          <w:rFonts w:ascii="Barlow" w:hAnsi="Barlow" w:cs="Helvetica"/>
          <w:sz w:val="20"/>
          <w:szCs w:val="20"/>
          <w:lang w:val="en-GB"/>
        </w:rPr>
        <w:t xml:space="preserve">creation </w:t>
      </w:r>
      <w:r w:rsidR="00FC36B3" w:rsidRPr="002E7684">
        <w:rPr>
          <w:rFonts w:ascii="Barlow" w:hAnsi="Barlow" w:cs="Helvetica"/>
          <w:sz w:val="20"/>
          <w:szCs w:val="20"/>
          <w:lang w:val="en-GB"/>
        </w:rPr>
        <w:t xml:space="preserve">of a </w:t>
      </w:r>
      <w:r w:rsidR="00FC36B3" w:rsidRPr="002E7684">
        <w:rPr>
          <w:rFonts w:ascii="Barlow" w:hAnsi="Barlow" w:cs="Helvetica"/>
          <w:b/>
          <w:bCs/>
          <w:sz w:val="20"/>
          <w:szCs w:val="20"/>
          <w:lang w:val="en-GB"/>
        </w:rPr>
        <w:t xml:space="preserve">flexible </w:t>
      </w:r>
      <w:r w:rsidR="009E6059" w:rsidRPr="002E7684">
        <w:rPr>
          <w:rFonts w:ascii="Barlow" w:hAnsi="Barlow" w:cs="Helvetica"/>
          <w:b/>
          <w:bCs/>
          <w:sz w:val="20"/>
          <w:szCs w:val="20"/>
          <w:lang w:val="en-GB"/>
        </w:rPr>
        <w:t xml:space="preserve">and digital </w:t>
      </w:r>
      <w:r w:rsidR="00FC36B3" w:rsidRPr="002E7684">
        <w:rPr>
          <w:rFonts w:ascii="Barlow" w:hAnsi="Barlow" w:cs="Helvetica"/>
          <w:b/>
          <w:bCs/>
          <w:sz w:val="20"/>
          <w:szCs w:val="20"/>
          <w:lang w:val="en-GB"/>
        </w:rPr>
        <w:t>“managing tool”</w:t>
      </w:r>
      <w:r w:rsidR="00FC36B3" w:rsidRPr="002E7684">
        <w:rPr>
          <w:rFonts w:ascii="Barlow" w:hAnsi="Barlow" w:cs="Helvetica"/>
          <w:sz w:val="20"/>
          <w:szCs w:val="20"/>
          <w:lang w:val="en-GB"/>
        </w:rPr>
        <w:t xml:space="preserve"> including KPI relevant to each territory at local level</w:t>
      </w:r>
      <w:r w:rsidR="00DB6993" w:rsidRPr="002E7684">
        <w:rPr>
          <w:rFonts w:ascii="Barlow" w:hAnsi="Barlow" w:cs="Helvetica"/>
          <w:sz w:val="20"/>
          <w:szCs w:val="20"/>
          <w:lang w:val="en-GB"/>
        </w:rPr>
        <w:t>.</w:t>
      </w:r>
      <w:r w:rsidR="009310A1" w:rsidRPr="002E7684">
        <w:rPr>
          <w:rFonts w:ascii="Barlow" w:hAnsi="Barlow" w:cs="Helvetica"/>
          <w:sz w:val="20"/>
          <w:szCs w:val="20"/>
          <w:lang w:val="en-GB"/>
        </w:rPr>
        <w:t xml:space="preserve"> </w:t>
      </w:r>
    </w:p>
    <w:p w14:paraId="7764FD4D" w14:textId="2AB6A75B" w:rsidR="002E7684" w:rsidRPr="002E7684" w:rsidRDefault="002E7684" w:rsidP="002E7684">
      <w:pPr>
        <w:pStyle w:val="Paragraphedeliste"/>
        <w:numPr>
          <w:ilvl w:val="0"/>
          <w:numId w:val="7"/>
        </w:numPr>
        <w:autoSpaceDE w:val="0"/>
        <w:autoSpaceDN w:val="0"/>
        <w:adjustRightInd w:val="0"/>
        <w:spacing w:before="120" w:after="120" w:line="280" w:lineRule="atLeast"/>
        <w:jc w:val="both"/>
        <w:rPr>
          <w:rFonts w:ascii="Barlow" w:hAnsi="Barlow" w:cs="Helvetica"/>
          <w:sz w:val="20"/>
          <w:szCs w:val="20"/>
          <w:lang w:val="en-GB"/>
        </w:rPr>
      </w:pPr>
      <w:r w:rsidRPr="002E7684">
        <w:rPr>
          <w:rFonts w:ascii="Barlow" w:hAnsi="Barlow" w:cs="Helvetica"/>
          <w:b/>
          <w:bCs/>
          <w:sz w:val="20"/>
          <w:szCs w:val="20"/>
          <w:lang w:val="en-GB"/>
        </w:rPr>
        <w:t>Multi-</w:t>
      </w:r>
      <w:proofErr w:type="spellStart"/>
      <w:r w:rsidRPr="002E7684">
        <w:rPr>
          <w:rFonts w:ascii="Barlow" w:hAnsi="Barlow" w:cs="Helvetica"/>
          <w:b/>
          <w:bCs/>
          <w:sz w:val="20"/>
          <w:szCs w:val="20"/>
          <w:lang w:val="en-GB"/>
        </w:rPr>
        <w:t>leveled</w:t>
      </w:r>
      <w:proofErr w:type="spellEnd"/>
      <w:r w:rsidRPr="002E7684">
        <w:rPr>
          <w:rFonts w:ascii="Barlow" w:hAnsi="Barlow" w:cs="Helvetica"/>
          <w:b/>
          <w:bCs/>
          <w:sz w:val="20"/>
          <w:szCs w:val="20"/>
          <w:lang w:val="en-GB"/>
        </w:rPr>
        <w:t xml:space="preserve"> and multi-stakeholders’ governance framework: </w:t>
      </w:r>
      <w:r w:rsidRPr="002E7684">
        <w:rPr>
          <w:rFonts w:ascii="Barlow" w:hAnsi="Barlow" w:cs="Helvetica"/>
          <w:sz w:val="20"/>
          <w:szCs w:val="20"/>
          <w:lang w:val="en-GB"/>
        </w:rPr>
        <w:t>TCM has become a recognised long-term collaboration tool between public and private sectors through partnerships. Yet, this scope needs to be broadened with the integration of locally based stakeholders such as the civil society, associations, etc. to become a fully multi-levelled and multi-stakeholders’ governance.</w:t>
      </w:r>
    </w:p>
    <w:p w14:paraId="26CD9E56" w14:textId="6C7ED133" w:rsidR="009C0B17" w:rsidRPr="002C7527" w:rsidRDefault="009310A1" w:rsidP="00DE6610">
      <w:pPr>
        <w:autoSpaceDE w:val="0"/>
        <w:autoSpaceDN w:val="0"/>
        <w:adjustRightInd w:val="0"/>
        <w:spacing w:before="120" w:after="120" w:line="280" w:lineRule="atLeast"/>
        <w:jc w:val="both"/>
        <w:rPr>
          <w:rFonts w:ascii="Barlow" w:hAnsi="Barlow" w:cs="Helvetica"/>
          <w:b/>
          <w:bCs/>
          <w:sz w:val="20"/>
          <w:szCs w:val="20"/>
          <w:lang w:val="en-GB"/>
        </w:rPr>
      </w:pPr>
      <w:r w:rsidRPr="003F5EB4">
        <w:rPr>
          <w:rFonts w:ascii="Barlow" w:hAnsi="Barlow" w:cs="Helvetica"/>
          <w:sz w:val="20"/>
          <w:szCs w:val="20"/>
          <w:lang w:val="en-GB"/>
        </w:rPr>
        <w:t xml:space="preserve">This managing tool will include a </w:t>
      </w:r>
      <w:r w:rsidRPr="003F5EB4">
        <w:rPr>
          <w:rFonts w:ascii="Barlow" w:hAnsi="Barlow" w:cs="Helvetica"/>
          <w:b/>
          <w:bCs/>
          <w:sz w:val="20"/>
          <w:szCs w:val="20"/>
          <w:lang w:val="en-GB"/>
        </w:rPr>
        <w:t>monitoring section</w:t>
      </w:r>
      <w:r w:rsidRPr="003F5EB4">
        <w:rPr>
          <w:rFonts w:ascii="Barlow" w:hAnsi="Barlow" w:cs="Helvetica"/>
          <w:sz w:val="20"/>
          <w:szCs w:val="20"/>
          <w:lang w:val="en-GB"/>
        </w:rPr>
        <w:t xml:space="preserve"> tailored to assess the </w:t>
      </w:r>
      <w:r w:rsidRPr="003F5EB4">
        <w:rPr>
          <w:rFonts w:ascii="Barlow" w:hAnsi="Barlow" w:cs="Helvetica"/>
          <w:b/>
          <w:bCs/>
          <w:sz w:val="20"/>
          <w:szCs w:val="20"/>
          <w:lang w:val="en-GB"/>
        </w:rPr>
        <w:t>performance of local policies implementation</w:t>
      </w:r>
      <w:r w:rsidRPr="003F5EB4">
        <w:rPr>
          <w:rFonts w:ascii="Barlow" w:hAnsi="Barlow" w:cs="Helvetica"/>
          <w:sz w:val="20"/>
          <w:szCs w:val="20"/>
          <w:lang w:val="en-GB"/>
        </w:rPr>
        <w:t xml:space="preserve"> and their </w:t>
      </w:r>
      <w:r w:rsidRPr="003F5EB4">
        <w:rPr>
          <w:rFonts w:ascii="Barlow" w:hAnsi="Barlow" w:cs="Helvetica"/>
          <w:b/>
          <w:bCs/>
          <w:sz w:val="20"/>
          <w:szCs w:val="20"/>
          <w:lang w:val="en-GB"/>
        </w:rPr>
        <w:t>impact</w:t>
      </w:r>
      <w:r w:rsidRPr="003F5EB4">
        <w:rPr>
          <w:rFonts w:ascii="Barlow" w:hAnsi="Barlow" w:cs="Helvetica"/>
          <w:sz w:val="20"/>
          <w:szCs w:val="20"/>
          <w:lang w:val="en-GB"/>
        </w:rPr>
        <w:t xml:space="preserve"> on </w:t>
      </w:r>
      <w:r w:rsidRPr="003F5EB4">
        <w:rPr>
          <w:rFonts w:ascii="Barlow" w:hAnsi="Barlow" w:cs="Helvetica"/>
          <w:b/>
          <w:bCs/>
          <w:sz w:val="20"/>
          <w:szCs w:val="20"/>
          <w:lang w:val="en-GB"/>
        </w:rPr>
        <w:t>environment</w:t>
      </w:r>
      <w:r w:rsidR="00965FF1" w:rsidRPr="003F5EB4">
        <w:rPr>
          <w:rFonts w:ascii="Barlow" w:hAnsi="Barlow" w:cs="Helvetica"/>
          <w:b/>
          <w:bCs/>
          <w:sz w:val="20"/>
          <w:szCs w:val="20"/>
          <w:lang w:val="en-GB"/>
        </w:rPr>
        <w:t xml:space="preserve"> and sustainability</w:t>
      </w:r>
      <w:r w:rsidRPr="003F5EB4">
        <w:rPr>
          <w:rFonts w:ascii="Barlow" w:hAnsi="Barlow" w:cs="Helvetica"/>
          <w:b/>
          <w:bCs/>
          <w:sz w:val="20"/>
          <w:szCs w:val="20"/>
          <w:lang w:val="en-GB"/>
        </w:rPr>
        <w:t>, city centres’ attractivity and quality, health and well-being</w:t>
      </w:r>
      <w:r w:rsidR="00965FF1" w:rsidRPr="003F5EB4">
        <w:rPr>
          <w:rFonts w:ascii="Barlow" w:hAnsi="Barlow" w:cs="Helvetica"/>
          <w:b/>
          <w:bCs/>
          <w:sz w:val="20"/>
          <w:szCs w:val="20"/>
          <w:lang w:val="en-GB"/>
        </w:rPr>
        <w:t xml:space="preserve">, gender equality, </w:t>
      </w:r>
      <w:proofErr w:type="gramStart"/>
      <w:r w:rsidR="00965FF1" w:rsidRPr="003F5EB4">
        <w:rPr>
          <w:rFonts w:ascii="Barlow" w:hAnsi="Barlow" w:cs="Helvetica"/>
          <w:b/>
          <w:bCs/>
          <w:sz w:val="20"/>
          <w:szCs w:val="20"/>
          <w:lang w:val="en-GB"/>
        </w:rPr>
        <w:t>inclusiveness</w:t>
      </w:r>
      <w:proofErr w:type="gramEnd"/>
      <w:r w:rsidR="00965FF1" w:rsidRPr="003F5EB4">
        <w:rPr>
          <w:rFonts w:ascii="Barlow" w:hAnsi="Barlow" w:cs="Helvetica"/>
          <w:b/>
          <w:bCs/>
          <w:sz w:val="20"/>
          <w:szCs w:val="20"/>
          <w:lang w:val="en-GB"/>
        </w:rPr>
        <w:t xml:space="preserve"> and safety.</w:t>
      </w:r>
      <w:r w:rsidR="002E7684" w:rsidRPr="002E7684">
        <w:rPr>
          <w:rFonts w:ascii="Barlow" w:hAnsi="Barlow" w:cs="Helvetica"/>
          <w:sz w:val="20"/>
          <w:szCs w:val="20"/>
          <w:lang w:val="en-GB"/>
        </w:rPr>
        <w:t xml:space="preserve"> It could encompass quantitative and qualitative assessments (</w:t>
      </w:r>
      <w:proofErr w:type="spellStart"/>
      <w:proofErr w:type="gramStart"/>
      <w:r w:rsidR="002E7684" w:rsidRPr="002E7684">
        <w:rPr>
          <w:rFonts w:ascii="Barlow" w:hAnsi="Barlow" w:cs="Helvetica"/>
          <w:sz w:val="20"/>
          <w:szCs w:val="20"/>
          <w:lang w:val="en-GB"/>
        </w:rPr>
        <w:t>ie</w:t>
      </w:r>
      <w:proofErr w:type="spellEnd"/>
      <w:proofErr w:type="gramEnd"/>
      <w:r w:rsidR="002E7684" w:rsidRPr="002E7684">
        <w:rPr>
          <w:rFonts w:ascii="Barlow" w:hAnsi="Barlow" w:cs="Helvetica"/>
          <w:sz w:val="20"/>
          <w:szCs w:val="20"/>
          <w:lang w:val="en-GB"/>
        </w:rPr>
        <w:t xml:space="preserve"> auto-diagnostic, real estate data, pedestrian counting or inhabitant and consumer surveys, etc).</w:t>
      </w:r>
      <w:r w:rsidR="00903CE6">
        <w:rPr>
          <w:rFonts w:ascii="Barlow" w:hAnsi="Barlow" w:cs="Helvetica"/>
          <w:b/>
          <w:bCs/>
          <w:sz w:val="20"/>
          <w:szCs w:val="20"/>
          <w:lang w:val="en-GB"/>
        </w:rPr>
        <w:t xml:space="preserve"> </w:t>
      </w:r>
      <w:r w:rsidR="00EB505A">
        <w:rPr>
          <w:rFonts w:ascii="Barlow" w:hAnsi="Barlow" w:cs="Helvetica"/>
          <w:sz w:val="20"/>
          <w:szCs w:val="20"/>
          <w:lang w:val="en-GB"/>
        </w:rPr>
        <w:t>It</w:t>
      </w:r>
      <w:r w:rsidR="003F5EB4">
        <w:rPr>
          <w:rFonts w:ascii="Barlow" w:hAnsi="Barlow" w:cs="Helvetica"/>
          <w:sz w:val="20"/>
          <w:szCs w:val="20"/>
          <w:lang w:val="en-GB"/>
        </w:rPr>
        <w:t xml:space="preserve"> will</w:t>
      </w:r>
      <w:r w:rsidR="0038264C" w:rsidRPr="003F5EB4">
        <w:rPr>
          <w:rFonts w:ascii="Barlow" w:hAnsi="Barlow" w:cs="Helvetica"/>
          <w:sz w:val="20"/>
          <w:szCs w:val="20"/>
          <w:lang w:val="en-GB"/>
        </w:rPr>
        <w:t xml:space="preserve"> encourage</w:t>
      </w:r>
      <w:r w:rsidR="004C5E87" w:rsidRPr="003F5EB4">
        <w:rPr>
          <w:rFonts w:ascii="Barlow" w:hAnsi="Barlow" w:cs="Helvetica"/>
          <w:sz w:val="20"/>
          <w:szCs w:val="20"/>
          <w:lang w:val="en-GB"/>
        </w:rPr>
        <w:t xml:space="preserve"> </w:t>
      </w:r>
      <w:r w:rsidR="0033558F" w:rsidRPr="003F5EB4">
        <w:rPr>
          <w:rFonts w:ascii="Barlow" w:hAnsi="Barlow" w:cs="Helvetica"/>
          <w:sz w:val="20"/>
          <w:szCs w:val="20"/>
          <w:lang w:val="en-GB"/>
        </w:rPr>
        <w:t xml:space="preserve">the use of </w:t>
      </w:r>
      <w:r w:rsidR="0033558F" w:rsidRPr="00EE31C6">
        <w:rPr>
          <w:rFonts w:ascii="Barlow" w:hAnsi="Barlow" w:cs="Helvetica"/>
          <w:b/>
          <w:bCs/>
          <w:sz w:val="20"/>
          <w:szCs w:val="20"/>
          <w:lang w:val="en-GB"/>
        </w:rPr>
        <w:t>consensus-based partnerships</w:t>
      </w:r>
      <w:r w:rsidR="0038264C" w:rsidRPr="00EE31C6">
        <w:rPr>
          <w:rFonts w:ascii="Barlow" w:hAnsi="Barlow" w:cs="Helvetica"/>
          <w:b/>
          <w:bCs/>
          <w:sz w:val="20"/>
          <w:szCs w:val="20"/>
          <w:lang w:val="en-GB"/>
        </w:rPr>
        <w:t>,</w:t>
      </w:r>
      <w:r w:rsidR="0038264C" w:rsidRPr="003F5EB4">
        <w:rPr>
          <w:rFonts w:ascii="Barlow" w:hAnsi="Barlow" w:cs="Helvetica"/>
          <w:sz w:val="20"/>
          <w:szCs w:val="20"/>
          <w:lang w:val="en-GB"/>
        </w:rPr>
        <w:t xml:space="preserve"> including </w:t>
      </w:r>
      <w:r w:rsidR="00DB6993" w:rsidRPr="003F5EB4">
        <w:rPr>
          <w:rFonts w:ascii="Barlow" w:hAnsi="Barlow" w:cs="Helvetica"/>
          <w:sz w:val="20"/>
          <w:szCs w:val="20"/>
          <w:lang w:val="en-GB"/>
        </w:rPr>
        <w:t xml:space="preserve">public and private sectors </w:t>
      </w:r>
      <w:r w:rsidR="009E2C3D" w:rsidRPr="003F5EB4">
        <w:rPr>
          <w:rFonts w:ascii="Barlow" w:hAnsi="Barlow" w:cs="Helvetica"/>
          <w:sz w:val="20"/>
          <w:szCs w:val="20"/>
          <w:lang w:val="en-GB"/>
        </w:rPr>
        <w:t>but also</w:t>
      </w:r>
      <w:r w:rsidR="00DB6993" w:rsidRPr="003F5EB4">
        <w:rPr>
          <w:rFonts w:ascii="Barlow" w:hAnsi="Barlow" w:cs="Helvetica"/>
          <w:sz w:val="20"/>
          <w:szCs w:val="20"/>
          <w:lang w:val="en-GB"/>
        </w:rPr>
        <w:t xml:space="preserve"> the civil society, associations, </w:t>
      </w:r>
      <w:r w:rsidR="0038264C" w:rsidRPr="003F5EB4">
        <w:rPr>
          <w:rFonts w:ascii="Barlow" w:hAnsi="Barlow" w:cs="Helvetica"/>
          <w:sz w:val="20"/>
          <w:szCs w:val="20"/>
          <w:lang w:val="en-GB"/>
        </w:rPr>
        <w:t>local communities,</w:t>
      </w:r>
      <w:r w:rsidR="0033558F" w:rsidRPr="003F5EB4">
        <w:rPr>
          <w:rFonts w:ascii="Barlow" w:hAnsi="Barlow" w:cs="Helvetica"/>
          <w:sz w:val="20"/>
          <w:szCs w:val="20"/>
          <w:lang w:val="en-GB"/>
        </w:rPr>
        <w:t xml:space="preserve"> applied to sustainable</w:t>
      </w:r>
      <w:r w:rsidR="00705389" w:rsidRPr="003F5EB4">
        <w:rPr>
          <w:rFonts w:ascii="Barlow" w:hAnsi="Barlow" w:cs="Helvetica"/>
          <w:sz w:val="20"/>
          <w:szCs w:val="20"/>
          <w:lang w:val="en-GB"/>
        </w:rPr>
        <w:t xml:space="preserve"> social</w:t>
      </w:r>
      <w:r w:rsidR="00705389" w:rsidRPr="000B769A">
        <w:rPr>
          <w:rFonts w:ascii="Barlow" w:hAnsi="Barlow" w:cs="Helvetica"/>
          <w:sz w:val="20"/>
          <w:szCs w:val="20"/>
          <w:lang w:val="en-GB"/>
        </w:rPr>
        <w:t xml:space="preserve">, </w:t>
      </w:r>
      <w:proofErr w:type="gramStart"/>
      <w:r w:rsidR="00705389" w:rsidRPr="002C7527">
        <w:rPr>
          <w:rFonts w:ascii="Barlow" w:hAnsi="Barlow" w:cs="Helvetica"/>
          <w:sz w:val="20"/>
          <w:szCs w:val="20"/>
          <w:lang w:val="en-GB"/>
        </w:rPr>
        <w:t>economic</w:t>
      </w:r>
      <w:proofErr w:type="gramEnd"/>
      <w:r w:rsidR="00705389" w:rsidRPr="002C7527">
        <w:rPr>
          <w:rFonts w:ascii="Barlow" w:hAnsi="Barlow" w:cs="Helvetica"/>
          <w:sz w:val="20"/>
          <w:szCs w:val="20"/>
          <w:lang w:val="en-GB"/>
        </w:rPr>
        <w:t xml:space="preserve"> and environmental</w:t>
      </w:r>
      <w:r w:rsidR="0033558F" w:rsidRPr="002C7527">
        <w:rPr>
          <w:rFonts w:ascii="Barlow" w:hAnsi="Barlow" w:cs="Helvetica"/>
          <w:sz w:val="20"/>
          <w:szCs w:val="20"/>
          <w:lang w:val="en-GB"/>
        </w:rPr>
        <w:t xml:space="preserve"> urban (re)development</w:t>
      </w:r>
      <w:r w:rsidR="0038264C" w:rsidRPr="002C7527">
        <w:rPr>
          <w:rFonts w:ascii="Barlow" w:hAnsi="Barlow" w:cs="Helvetica"/>
          <w:sz w:val="20"/>
          <w:szCs w:val="20"/>
          <w:lang w:val="en-GB"/>
        </w:rPr>
        <w:t>.</w:t>
      </w:r>
      <w:r w:rsidR="00EB505A" w:rsidRPr="002C7527">
        <w:rPr>
          <w:rFonts w:ascii="Barlow" w:hAnsi="Barlow" w:cs="Helvetica"/>
          <w:sz w:val="20"/>
          <w:szCs w:val="20"/>
          <w:lang w:val="en-GB"/>
        </w:rPr>
        <w:t xml:space="preserve"> </w:t>
      </w:r>
    </w:p>
    <w:p w14:paraId="6B721B1A" w14:textId="0C6A5842" w:rsidR="009C0B17" w:rsidRPr="00D77CEA" w:rsidRDefault="00A23947" w:rsidP="00DE6610">
      <w:pPr>
        <w:autoSpaceDE w:val="0"/>
        <w:autoSpaceDN w:val="0"/>
        <w:adjustRightInd w:val="0"/>
        <w:spacing w:before="120" w:after="120" w:line="280" w:lineRule="atLeast"/>
        <w:jc w:val="both"/>
        <w:rPr>
          <w:rFonts w:ascii="Barlow" w:hAnsi="Barlow" w:cs="Helvetica"/>
          <w:b/>
          <w:bCs/>
          <w:sz w:val="20"/>
          <w:szCs w:val="20"/>
          <w:lang w:val="en-GB"/>
        </w:rPr>
      </w:pPr>
      <w:proofErr w:type="spellStart"/>
      <w:r w:rsidRPr="002C7527">
        <w:rPr>
          <w:rFonts w:ascii="Barlow" w:hAnsi="Barlow"/>
          <w:b/>
          <w:sz w:val="20"/>
          <w:szCs w:val="20"/>
          <w:lang w:val="en-US"/>
        </w:rPr>
        <w:t>Cities@Heart</w:t>
      </w:r>
      <w:proofErr w:type="spellEnd"/>
      <w:r w:rsidRPr="002C7527">
        <w:rPr>
          <w:rFonts w:ascii="Barlow" w:hAnsi="Barlow"/>
          <w:b/>
          <w:sz w:val="20"/>
          <w:szCs w:val="20"/>
          <w:lang w:val="en-US"/>
        </w:rPr>
        <w:t xml:space="preserve"> </w:t>
      </w:r>
      <w:r w:rsidR="00D16868" w:rsidRPr="002C7527">
        <w:rPr>
          <w:rFonts w:ascii="Barlow" w:hAnsi="Barlow" w:cs="Helvetica"/>
          <w:sz w:val="20"/>
          <w:szCs w:val="20"/>
          <w:lang w:val="en-GB"/>
        </w:rPr>
        <w:t>will be led</w:t>
      </w:r>
      <w:r w:rsidR="00D16868">
        <w:rPr>
          <w:rFonts w:ascii="Barlow" w:hAnsi="Barlow" w:cs="Helvetica"/>
          <w:sz w:val="20"/>
          <w:szCs w:val="20"/>
          <w:lang w:val="en-GB"/>
        </w:rPr>
        <w:t xml:space="preserve"> </w:t>
      </w:r>
      <w:r w:rsidR="00D16868" w:rsidRPr="0015606E">
        <w:rPr>
          <w:rFonts w:ascii="Barlow" w:hAnsi="Barlow" w:cs="Helvetica"/>
          <w:sz w:val="20"/>
          <w:szCs w:val="20"/>
          <w:lang w:val="en-GB"/>
        </w:rPr>
        <w:t xml:space="preserve">by </w:t>
      </w:r>
      <w:r w:rsidR="007F105D">
        <w:rPr>
          <w:rFonts w:ascii="Barlow" w:hAnsi="Barlow" w:cs="Helvetica"/>
          <w:sz w:val="20"/>
          <w:szCs w:val="20"/>
          <w:lang w:val="en-GB"/>
        </w:rPr>
        <w:t xml:space="preserve">the </w:t>
      </w:r>
      <w:r w:rsidR="00A11225" w:rsidRPr="007F105D">
        <w:rPr>
          <w:rFonts w:ascii="Barlow" w:hAnsi="Barlow" w:cs="Helvetica"/>
          <w:b/>
          <w:bCs/>
          <w:sz w:val="20"/>
          <w:szCs w:val="20"/>
          <w:lang w:val="en-GB"/>
        </w:rPr>
        <w:t xml:space="preserve">Greater </w:t>
      </w:r>
      <w:r w:rsidR="00D16868" w:rsidRPr="007F105D">
        <w:rPr>
          <w:rFonts w:ascii="Barlow" w:hAnsi="Barlow" w:cs="Helvetica"/>
          <w:b/>
          <w:bCs/>
          <w:sz w:val="20"/>
          <w:szCs w:val="20"/>
          <w:lang w:val="en-GB"/>
        </w:rPr>
        <w:t>Paris Metropolis</w:t>
      </w:r>
      <w:r w:rsidR="00D16868" w:rsidRPr="0015606E">
        <w:rPr>
          <w:rFonts w:ascii="Barlow" w:hAnsi="Barlow" w:cs="Helvetica"/>
          <w:sz w:val="20"/>
          <w:szCs w:val="20"/>
          <w:lang w:val="en-GB"/>
        </w:rPr>
        <w:t xml:space="preserve"> and</w:t>
      </w:r>
      <w:r w:rsidR="00D16868">
        <w:rPr>
          <w:rFonts w:ascii="Barlow" w:hAnsi="Barlow" w:cs="Helvetica"/>
          <w:sz w:val="20"/>
          <w:szCs w:val="20"/>
          <w:lang w:val="en-GB"/>
        </w:rPr>
        <w:t xml:space="preserve"> is looking for partners from </w:t>
      </w:r>
      <w:r w:rsidR="00965FF1" w:rsidRPr="000B769A">
        <w:rPr>
          <w:rFonts w:ascii="Barlow" w:hAnsi="Barlow" w:cs="Helvetica"/>
          <w:sz w:val="20"/>
          <w:szCs w:val="20"/>
          <w:lang w:val="en-GB"/>
        </w:rPr>
        <w:t>small to larger cities</w:t>
      </w:r>
      <w:r w:rsidR="00965FF1">
        <w:rPr>
          <w:rFonts w:ascii="Barlow" w:hAnsi="Barlow" w:cs="Helvetica"/>
          <w:sz w:val="20"/>
          <w:szCs w:val="20"/>
          <w:lang w:val="en-GB"/>
        </w:rPr>
        <w:t>, universities and experts committed to urban planning and</w:t>
      </w:r>
      <w:r w:rsidR="00FA762D">
        <w:rPr>
          <w:rFonts w:ascii="Barlow" w:hAnsi="Barlow" w:cs="Helvetica"/>
          <w:sz w:val="20"/>
          <w:szCs w:val="20"/>
          <w:lang w:val="en-GB"/>
        </w:rPr>
        <w:t xml:space="preserve"> economic development </w:t>
      </w:r>
      <w:r w:rsidR="00965FF1">
        <w:rPr>
          <w:rFonts w:ascii="Barlow" w:hAnsi="Barlow" w:cs="Helvetica"/>
          <w:sz w:val="20"/>
          <w:szCs w:val="20"/>
          <w:lang w:val="en-GB"/>
        </w:rPr>
        <w:t>and</w:t>
      </w:r>
      <w:r w:rsidR="00D16868">
        <w:rPr>
          <w:rFonts w:ascii="Barlow" w:hAnsi="Barlow" w:cs="Helvetica"/>
          <w:sz w:val="20"/>
          <w:szCs w:val="20"/>
          <w:lang w:val="en-GB"/>
        </w:rPr>
        <w:t xml:space="preserve"> willing to achieve the same goals</w:t>
      </w:r>
      <w:r w:rsidR="009C0B17">
        <w:rPr>
          <w:rFonts w:ascii="Barlow" w:hAnsi="Barlow" w:cs="Helvetica"/>
          <w:sz w:val="20"/>
          <w:szCs w:val="20"/>
          <w:lang w:val="en-GB"/>
        </w:rPr>
        <w:t>, creating</w:t>
      </w:r>
      <w:r w:rsidR="00D16868">
        <w:rPr>
          <w:rFonts w:ascii="Barlow" w:hAnsi="Barlow" w:cs="Helvetica"/>
          <w:sz w:val="20"/>
          <w:szCs w:val="20"/>
          <w:lang w:val="en-GB"/>
        </w:rPr>
        <w:t xml:space="preserve"> </w:t>
      </w:r>
      <w:r w:rsidR="009C0B17">
        <w:rPr>
          <w:rFonts w:ascii="Barlow" w:hAnsi="Barlow" w:cs="Helvetica"/>
          <w:sz w:val="20"/>
          <w:szCs w:val="20"/>
          <w:lang w:val="en-GB"/>
        </w:rPr>
        <w:t xml:space="preserve">and using </w:t>
      </w:r>
      <w:r w:rsidR="00CF11F6">
        <w:rPr>
          <w:rFonts w:ascii="Barlow" w:hAnsi="Barlow" w:cs="Helvetica"/>
          <w:b/>
          <w:bCs/>
          <w:sz w:val="20"/>
          <w:szCs w:val="20"/>
          <w:lang w:val="en-GB"/>
        </w:rPr>
        <w:t>this</w:t>
      </w:r>
      <w:r w:rsidR="009C0B17" w:rsidRPr="000A274D">
        <w:rPr>
          <w:rFonts w:ascii="Barlow" w:hAnsi="Barlow" w:cs="Helvetica"/>
          <w:b/>
          <w:bCs/>
          <w:sz w:val="20"/>
          <w:szCs w:val="20"/>
          <w:lang w:val="en-GB"/>
        </w:rPr>
        <w:t xml:space="preserve"> tool</w:t>
      </w:r>
      <w:r w:rsidR="009C0B17">
        <w:rPr>
          <w:rFonts w:ascii="Barlow" w:hAnsi="Barlow" w:cs="Helvetica"/>
          <w:sz w:val="20"/>
          <w:szCs w:val="20"/>
          <w:lang w:val="en-GB"/>
        </w:rPr>
        <w:t xml:space="preserve"> to improve their capacity to </w:t>
      </w:r>
      <w:r w:rsidR="009C0B17" w:rsidRPr="00D77CEA">
        <w:rPr>
          <w:rFonts w:ascii="Barlow" w:hAnsi="Barlow" w:cs="Helvetica"/>
          <w:b/>
          <w:bCs/>
          <w:sz w:val="20"/>
          <w:szCs w:val="20"/>
          <w:lang w:val="en-GB"/>
        </w:rPr>
        <w:t>manage and carry out successful sustainable urban policies leaning on pragmatic and operational action plans.</w:t>
      </w:r>
      <w:r w:rsidR="00EB505A">
        <w:rPr>
          <w:rFonts w:ascii="Barlow" w:hAnsi="Barlow" w:cs="Helvetica"/>
          <w:sz w:val="20"/>
          <w:szCs w:val="20"/>
          <w:lang w:val="en-GB"/>
        </w:rPr>
        <w:t xml:space="preserve"> Each partner joining the project will be able to use this shared methodology to its own concerns and local commitments. </w:t>
      </w:r>
    </w:p>
    <w:p w14:paraId="5AC2CD68" w14:textId="657721C2" w:rsidR="00630D4B" w:rsidRPr="00D500BC" w:rsidRDefault="00664D3D" w:rsidP="00D500BC">
      <w:pPr>
        <w:autoSpaceDE w:val="0"/>
        <w:autoSpaceDN w:val="0"/>
        <w:adjustRightInd w:val="0"/>
        <w:spacing w:before="120" w:after="120" w:line="280" w:lineRule="atLeast"/>
        <w:jc w:val="both"/>
        <w:rPr>
          <w:rFonts w:ascii="Barlow" w:hAnsi="Barlow" w:cs="Helvetica"/>
          <w:b/>
          <w:bCs/>
          <w:sz w:val="20"/>
          <w:szCs w:val="20"/>
          <w:lang w:val="en-GB"/>
        </w:rPr>
      </w:pPr>
      <w:r>
        <w:rPr>
          <w:rFonts w:ascii="Barlow" w:hAnsi="Barlow" w:cs="Helvetica"/>
          <w:sz w:val="20"/>
          <w:szCs w:val="20"/>
          <w:lang w:val="en-GB"/>
        </w:rPr>
        <w:t>In short, t</w:t>
      </w:r>
      <w:r w:rsidR="00447A5B">
        <w:rPr>
          <w:rFonts w:ascii="Barlow" w:hAnsi="Barlow" w:cs="Helvetica"/>
          <w:sz w:val="20"/>
          <w:szCs w:val="20"/>
          <w:lang w:val="en-GB"/>
        </w:rPr>
        <w:t>his URBACT IV application aims at enriching T</w:t>
      </w:r>
      <w:r w:rsidR="00547ECA" w:rsidRPr="00257836">
        <w:rPr>
          <w:rFonts w:ascii="Barlow" w:hAnsi="Barlow" w:cs="Helvetica"/>
          <w:sz w:val="20"/>
          <w:szCs w:val="20"/>
          <w:lang w:val="en-GB"/>
        </w:rPr>
        <w:t xml:space="preserve">CM </w:t>
      </w:r>
      <w:r>
        <w:rPr>
          <w:rFonts w:ascii="Barlow" w:hAnsi="Barlow" w:cs="Helvetica"/>
          <w:sz w:val="20"/>
          <w:szCs w:val="20"/>
          <w:lang w:val="en-GB"/>
        </w:rPr>
        <w:t xml:space="preserve">to </w:t>
      </w:r>
      <w:r w:rsidR="00A2699D">
        <w:rPr>
          <w:rFonts w:ascii="Barlow" w:hAnsi="Barlow" w:cs="Helvetica"/>
          <w:sz w:val="20"/>
          <w:szCs w:val="20"/>
          <w:lang w:val="en-GB"/>
        </w:rPr>
        <w:t>ensure</w:t>
      </w:r>
      <w:r>
        <w:rPr>
          <w:rFonts w:ascii="Barlow" w:hAnsi="Barlow" w:cs="Helvetica"/>
          <w:sz w:val="20"/>
          <w:szCs w:val="20"/>
          <w:lang w:val="en-GB"/>
        </w:rPr>
        <w:t xml:space="preserve"> </w:t>
      </w:r>
      <w:r w:rsidR="00547ECA" w:rsidRPr="00257836">
        <w:rPr>
          <w:rFonts w:ascii="Barlow" w:hAnsi="Barlow" w:cs="Helvetica"/>
          <w:sz w:val="20"/>
          <w:szCs w:val="20"/>
          <w:lang w:val="en-GB"/>
        </w:rPr>
        <w:t xml:space="preserve">that a </w:t>
      </w:r>
      <w:r w:rsidR="00547ECA" w:rsidRPr="00D77CEA">
        <w:rPr>
          <w:rFonts w:ascii="Barlow" w:hAnsi="Barlow" w:cs="Helvetica"/>
          <w:b/>
          <w:bCs/>
          <w:sz w:val="20"/>
          <w:szCs w:val="20"/>
          <w:lang w:val="en-GB"/>
        </w:rPr>
        <w:t xml:space="preserve">dialogue </w:t>
      </w:r>
      <w:r w:rsidR="00547ECA" w:rsidRPr="00257836">
        <w:rPr>
          <w:rFonts w:ascii="Barlow" w:hAnsi="Barlow" w:cs="Helvetica"/>
          <w:sz w:val="20"/>
          <w:szCs w:val="20"/>
          <w:lang w:val="en-GB"/>
        </w:rPr>
        <w:t>is established between all partners</w:t>
      </w:r>
      <w:r w:rsidR="0053387D" w:rsidRPr="00257836">
        <w:rPr>
          <w:rFonts w:ascii="Barlow" w:hAnsi="Barlow" w:cs="Helvetica"/>
          <w:sz w:val="20"/>
          <w:szCs w:val="20"/>
          <w:lang w:val="en-GB"/>
        </w:rPr>
        <w:t xml:space="preserve">, in such a way that the </w:t>
      </w:r>
      <w:r w:rsidR="0053387D" w:rsidRPr="00D77CEA">
        <w:rPr>
          <w:rFonts w:ascii="Barlow" w:hAnsi="Barlow" w:cs="Helvetica"/>
          <w:b/>
          <w:bCs/>
          <w:sz w:val="20"/>
          <w:szCs w:val="20"/>
          <w:lang w:val="en-GB"/>
        </w:rPr>
        <w:t xml:space="preserve">development of the town centre is the result of a project widely and jointly supported by all key players. </w:t>
      </w:r>
      <w:r>
        <w:rPr>
          <w:rFonts w:ascii="Barlow" w:hAnsi="Barlow" w:cs="Helvetica"/>
          <w:sz w:val="20"/>
          <w:szCs w:val="20"/>
          <w:lang w:val="en-GB"/>
        </w:rPr>
        <w:t>Indeed, u</w:t>
      </w:r>
      <w:r w:rsidRPr="000B769A">
        <w:rPr>
          <w:rFonts w:ascii="Barlow" w:hAnsi="Barlow" w:cs="Helvetica"/>
          <w:sz w:val="20"/>
          <w:szCs w:val="20"/>
          <w:lang w:val="en-GB"/>
        </w:rPr>
        <w:t xml:space="preserve">rban projects are coordinated and produce </w:t>
      </w:r>
      <w:r w:rsidRPr="00D77CEA">
        <w:rPr>
          <w:rFonts w:ascii="Barlow" w:hAnsi="Barlow" w:cs="Helvetica"/>
          <w:b/>
          <w:bCs/>
          <w:sz w:val="20"/>
          <w:szCs w:val="20"/>
          <w:lang w:val="en-GB"/>
        </w:rPr>
        <w:t>beneficial side effects</w:t>
      </w:r>
      <w:r w:rsidRPr="00257836">
        <w:rPr>
          <w:rFonts w:ascii="Barlow" w:hAnsi="Barlow" w:cs="Helvetica"/>
          <w:sz w:val="20"/>
          <w:szCs w:val="20"/>
          <w:lang w:val="en-GB"/>
        </w:rPr>
        <w:t xml:space="preserve"> in a variety of areas (planning, stimulating the economy, activating private investment, mobility, etc.) all di</w:t>
      </w:r>
      <w:r>
        <w:rPr>
          <w:rFonts w:ascii="Barlow" w:hAnsi="Barlow" w:cs="Helvetica"/>
          <w:sz w:val="20"/>
          <w:szCs w:val="20"/>
          <w:lang w:val="en-GB"/>
        </w:rPr>
        <w:t>r</w:t>
      </w:r>
      <w:r w:rsidRPr="00257836">
        <w:rPr>
          <w:rFonts w:ascii="Barlow" w:hAnsi="Barlow" w:cs="Helvetica"/>
          <w:sz w:val="20"/>
          <w:szCs w:val="20"/>
          <w:lang w:val="en-GB"/>
        </w:rPr>
        <w:t xml:space="preserve">ected towards a </w:t>
      </w:r>
      <w:r w:rsidRPr="00D500BC">
        <w:rPr>
          <w:rFonts w:ascii="Barlow" w:hAnsi="Barlow" w:cs="Helvetica"/>
          <w:b/>
          <w:bCs/>
          <w:sz w:val="20"/>
          <w:szCs w:val="20"/>
          <w:lang w:val="en-GB"/>
        </w:rPr>
        <w:t xml:space="preserve">greener, </w:t>
      </w:r>
      <w:proofErr w:type="gramStart"/>
      <w:r w:rsidRPr="00D500BC">
        <w:rPr>
          <w:rFonts w:ascii="Barlow" w:hAnsi="Barlow" w:cs="Helvetica"/>
          <w:b/>
          <w:bCs/>
          <w:sz w:val="20"/>
          <w:szCs w:val="20"/>
          <w:lang w:val="en-GB"/>
        </w:rPr>
        <w:t>smarter</w:t>
      </w:r>
      <w:proofErr w:type="gramEnd"/>
      <w:r w:rsidRPr="00D500BC">
        <w:rPr>
          <w:rFonts w:ascii="Barlow" w:hAnsi="Barlow" w:cs="Helvetica"/>
          <w:b/>
          <w:bCs/>
          <w:sz w:val="20"/>
          <w:szCs w:val="20"/>
          <w:lang w:val="en-GB"/>
        </w:rPr>
        <w:t xml:space="preserve"> and more inclusive EU society. </w:t>
      </w:r>
    </w:p>
    <w:p w14:paraId="70E059A4" w14:textId="1F8905EF" w:rsidR="0040462E" w:rsidRPr="002E7684" w:rsidRDefault="001B07A5" w:rsidP="00D500BC">
      <w:pPr>
        <w:pStyle w:val="Paragraphedeliste"/>
        <w:numPr>
          <w:ilvl w:val="0"/>
          <w:numId w:val="10"/>
        </w:numPr>
        <w:spacing w:before="120" w:after="120" w:line="280" w:lineRule="atLeast"/>
        <w:jc w:val="both"/>
        <w:rPr>
          <w:rFonts w:ascii="Barlow" w:hAnsi="Barlow"/>
          <w:b/>
          <w:bCs/>
          <w:sz w:val="20"/>
          <w:szCs w:val="20"/>
          <w:u w:val="single"/>
          <w:lang w:val="en-GB"/>
        </w:rPr>
      </w:pPr>
      <w:r w:rsidRPr="002E7684">
        <w:rPr>
          <w:rFonts w:ascii="Barlow" w:hAnsi="Barlow"/>
          <w:b/>
          <w:bCs/>
          <w:sz w:val="20"/>
          <w:szCs w:val="20"/>
          <w:u w:val="single"/>
          <w:lang w:val="en-GB"/>
        </w:rPr>
        <w:t>Partnership</w:t>
      </w:r>
    </w:p>
    <w:p w14:paraId="69DBD107" w14:textId="77777777" w:rsidR="006F433B" w:rsidRPr="00D500BC" w:rsidRDefault="006F433B" w:rsidP="006F433B">
      <w:pPr>
        <w:spacing w:before="120" w:after="120" w:line="280" w:lineRule="atLeast"/>
        <w:jc w:val="both"/>
        <w:rPr>
          <w:rFonts w:ascii="Barlow" w:hAnsi="Barlow"/>
          <w:b/>
          <w:bCs/>
          <w:sz w:val="20"/>
          <w:szCs w:val="20"/>
          <w:lang w:val="en-GB"/>
        </w:rPr>
      </w:pPr>
      <w:r>
        <w:rPr>
          <w:rFonts w:ascii="Barlow" w:hAnsi="Barlow"/>
          <w:sz w:val="20"/>
          <w:szCs w:val="20"/>
          <w:lang w:val="en-GB"/>
        </w:rPr>
        <w:t>Partner</w:t>
      </w:r>
      <w:r w:rsidRPr="000B769A">
        <w:rPr>
          <w:rFonts w:ascii="Barlow" w:hAnsi="Barlow"/>
          <w:sz w:val="20"/>
          <w:szCs w:val="20"/>
          <w:lang w:val="en-GB"/>
        </w:rPr>
        <w:t xml:space="preserve">s may be </w:t>
      </w:r>
      <w:r w:rsidRPr="00D500BC">
        <w:rPr>
          <w:rFonts w:ascii="Barlow" w:hAnsi="Barlow"/>
          <w:b/>
          <w:bCs/>
          <w:sz w:val="20"/>
          <w:szCs w:val="20"/>
          <w:lang w:val="en-GB"/>
        </w:rPr>
        <w:t>public authorities or bodies governed by public law.</w:t>
      </w:r>
    </w:p>
    <w:p w14:paraId="30EEDB7A" w14:textId="180E23AC" w:rsidR="001B07A5" w:rsidRPr="000B769A" w:rsidRDefault="001B07A5" w:rsidP="0040462E">
      <w:pPr>
        <w:autoSpaceDE w:val="0"/>
        <w:autoSpaceDN w:val="0"/>
        <w:adjustRightInd w:val="0"/>
        <w:spacing w:before="120" w:after="120" w:line="280" w:lineRule="atLeast"/>
        <w:contextualSpacing/>
        <w:jc w:val="both"/>
        <w:rPr>
          <w:rFonts w:ascii="Barlow" w:hAnsi="Barlow" w:cs="Helvetica"/>
          <w:sz w:val="20"/>
          <w:szCs w:val="20"/>
          <w:lang w:val="en-GB"/>
        </w:rPr>
      </w:pPr>
      <w:r w:rsidRPr="000B769A">
        <w:rPr>
          <w:rFonts w:ascii="Barlow" w:hAnsi="Barlow" w:cs="Helvetica"/>
          <w:sz w:val="20"/>
          <w:szCs w:val="20"/>
          <w:lang w:val="en-GB"/>
        </w:rPr>
        <w:t xml:space="preserve">In keeping with the requirements pertaining to </w:t>
      </w:r>
      <w:r w:rsidRPr="002E7684">
        <w:rPr>
          <w:rFonts w:ascii="Barlow" w:hAnsi="Barlow" w:cs="Helvetica"/>
          <w:sz w:val="20"/>
          <w:szCs w:val="20"/>
          <w:lang w:val="en-GB"/>
        </w:rPr>
        <w:t xml:space="preserve">partnerships in </w:t>
      </w:r>
      <w:r w:rsidR="00A23947" w:rsidRPr="002E7684">
        <w:rPr>
          <w:rFonts w:ascii="Barlow" w:hAnsi="Barlow" w:cs="Helvetica"/>
          <w:sz w:val="20"/>
          <w:szCs w:val="20"/>
          <w:lang w:val="en-GB"/>
        </w:rPr>
        <w:t>URBACT</w:t>
      </w:r>
      <w:r w:rsidRPr="002E7684">
        <w:rPr>
          <w:rFonts w:ascii="Barlow" w:hAnsi="Barlow" w:cs="Helvetica"/>
          <w:sz w:val="20"/>
          <w:szCs w:val="20"/>
          <w:lang w:val="en-GB"/>
        </w:rPr>
        <w:t xml:space="preserve">, </w:t>
      </w:r>
      <w:r w:rsidRPr="000B769A">
        <w:rPr>
          <w:rFonts w:ascii="Barlow" w:hAnsi="Barlow" w:cs="Helvetica"/>
          <w:sz w:val="20"/>
          <w:szCs w:val="20"/>
          <w:lang w:val="en-GB"/>
        </w:rPr>
        <w:t xml:space="preserve">we </w:t>
      </w:r>
      <w:r w:rsidR="0040462E">
        <w:rPr>
          <w:rFonts w:ascii="Barlow" w:hAnsi="Barlow" w:cs="Helvetica"/>
          <w:sz w:val="20"/>
          <w:szCs w:val="20"/>
          <w:lang w:val="en-GB"/>
        </w:rPr>
        <w:t>are looking for</w:t>
      </w:r>
      <w:r w:rsidRPr="000B769A">
        <w:rPr>
          <w:rFonts w:ascii="Barlow" w:hAnsi="Barlow" w:cs="Helvetica"/>
          <w:sz w:val="20"/>
          <w:szCs w:val="20"/>
          <w:lang w:val="en-GB"/>
        </w:rPr>
        <w:t xml:space="preserve"> </w:t>
      </w:r>
      <w:r w:rsidRPr="00D500BC">
        <w:rPr>
          <w:rFonts w:ascii="Barlow" w:hAnsi="Barlow" w:cs="Helvetica"/>
          <w:b/>
          <w:bCs/>
          <w:sz w:val="20"/>
          <w:szCs w:val="20"/>
          <w:lang w:val="en-GB"/>
        </w:rPr>
        <w:t>partners from at least</w:t>
      </w:r>
      <w:r w:rsidR="006815B5" w:rsidRPr="00D500BC">
        <w:rPr>
          <w:rFonts w:ascii="Barlow" w:hAnsi="Barlow" w:cs="Helvetica"/>
          <w:b/>
          <w:bCs/>
          <w:sz w:val="20"/>
          <w:szCs w:val="20"/>
          <w:lang w:val="en-GB"/>
        </w:rPr>
        <w:t xml:space="preserve"> </w:t>
      </w:r>
      <w:r w:rsidR="0040462E" w:rsidRPr="00D500BC">
        <w:rPr>
          <w:rFonts w:ascii="Barlow" w:hAnsi="Barlow" w:cs="Helvetica"/>
          <w:b/>
          <w:bCs/>
          <w:sz w:val="20"/>
          <w:szCs w:val="20"/>
          <w:lang w:val="en-GB"/>
        </w:rPr>
        <w:t>8</w:t>
      </w:r>
      <w:r w:rsidR="004C3A38" w:rsidRPr="00D500BC">
        <w:rPr>
          <w:rFonts w:ascii="Barlow" w:hAnsi="Barlow" w:cs="Helvetica"/>
          <w:b/>
          <w:bCs/>
          <w:sz w:val="20"/>
          <w:szCs w:val="20"/>
          <w:lang w:val="en-GB"/>
        </w:rPr>
        <w:t>, but more</w:t>
      </w:r>
      <w:r w:rsidR="006815B5" w:rsidRPr="00D500BC">
        <w:rPr>
          <w:rFonts w:ascii="Barlow" w:hAnsi="Barlow" w:cs="Helvetica"/>
          <w:b/>
          <w:bCs/>
          <w:sz w:val="20"/>
          <w:szCs w:val="20"/>
          <w:lang w:val="en-GB"/>
        </w:rPr>
        <w:t xml:space="preserve"> probably</w:t>
      </w:r>
      <w:r w:rsidRPr="00D500BC">
        <w:rPr>
          <w:rFonts w:ascii="Barlow" w:hAnsi="Barlow" w:cs="Helvetica"/>
          <w:b/>
          <w:bCs/>
          <w:sz w:val="20"/>
          <w:szCs w:val="20"/>
          <w:lang w:val="en-GB"/>
        </w:rPr>
        <w:t xml:space="preserve"> </w:t>
      </w:r>
      <w:r w:rsidR="0040462E" w:rsidRPr="00D500BC">
        <w:rPr>
          <w:rFonts w:ascii="Barlow" w:hAnsi="Barlow" w:cs="Helvetica"/>
          <w:b/>
          <w:bCs/>
          <w:sz w:val="20"/>
          <w:szCs w:val="20"/>
          <w:lang w:val="en-GB"/>
        </w:rPr>
        <w:t>10</w:t>
      </w:r>
      <w:r w:rsidRPr="00D500BC">
        <w:rPr>
          <w:rFonts w:ascii="Barlow" w:hAnsi="Barlow" w:cs="Helvetica"/>
          <w:b/>
          <w:bCs/>
          <w:sz w:val="20"/>
          <w:szCs w:val="20"/>
          <w:lang w:val="en-GB"/>
        </w:rPr>
        <w:t xml:space="preserve"> Member States</w:t>
      </w:r>
      <w:r w:rsidRPr="000B769A">
        <w:rPr>
          <w:rFonts w:ascii="Barlow" w:hAnsi="Barlow" w:cs="Helvetica"/>
          <w:sz w:val="20"/>
          <w:szCs w:val="20"/>
          <w:lang w:val="en-GB"/>
        </w:rPr>
        <w:t xml:space="preserve">. </w:t>
      </w:r>
      <w:proofErr w:type="gramStart"/>
      <w:r w:rsidRPr="000B769A">
        <w:rPr>
          <w:rFonts w:ascii="Barlow" w:hAnsi="Barlow" w:cs="Helvetica"/>
          <w:sz w:val="20"/>
          <w:szCs w:val="20"/>
          <w:lang w:val="en-GB"/>
        </w:rPr>
        <w:t>In order to</w:t>
      </w:r>
      <w:proofErr w:type="gramEnd"/>
      <w:r w:rsidRPr="000B769A">
        <w:rPr>
          <w:rFonts w:ascii="Barlow" w:hAnsi="Barlow" w:cs="Helvetica"/>
          <w:sz w:val="20"/>
          <w:szCs w:val="20"/>
          <w:lang w:val="en-GB"/>
        </w:rPr>
        <w:t xml:space="preserve"> ensure that implementation phases and decisions are followed by actions</w:t>
      </w:r>
      <w:r w:rsidR="00D23E6D" w:rsidRPr="000B769A">
        <w:rPr>
          <w:rFonts w:ascii="Barlow" w:hAnsi="Barlow" w:cs="Helvetica"/>
          <w:sz w:val="20"/>
          <w:szCs w:val="20"/>
          <w:lang w:val="en-GB"/>
        </w:rPr>
        <w:t xml:space="preserve"> at </w:t>
      </w:r>
      <w:r w:rsidR="0040462E">
        <w:rPr>
          <w:rFonts w:ascii="Barlow" w:hAnsi="Barlow" w:cs="Helvetica"/>
          <w:sz w:val="20"/>
          <w:szCs w:val="20"/>
          <w:lang w:val="en-GB"/>
        </w:rPr>
        <w:t>all levels</w:t>
      </w:r>
      <w:r w:rsidRPr="000B769A">
        <w:rPr>
          <w:rFonts w:ascii="Barlow" w:hAnsi="Barlow" w:cs="Helvetica"/>
          <w:sz w:val="20"/>
          <w:szCs w:val="20"/>
          <w:lang w:val="en-GB"/>
        </w:rPr>
        <w:t xml:space="preserve">, each partner </w:t>
      </w:r>
      <w:r w:rsidR="0040462E">
        <w:rPr>
          <w:rFonts w:ascii="Barlow" w:hAnsi="Barlow" w:cs="Helvetica"/>
          <w:sz w:val="20"/>
          <w:szCs w:val="20"/>
          <w:lang w:val="en-GB"/>
        </w:rPr>
        <w:t>will have</w:t>
      </w:r>
      <w:r w:rsidRPr="000B769A">
        <w:rPr>
          <w:rFonts w:ascii="Barlow" w:hAnsi="Barlow" w:cs="Helvetica"/>
          <w:sz w:val="20"/>
          <w:szCs w:val="20"/>
          <w:lang w:val="en-GB"/>
        </w:rPr>
        <w:t xml:space="preserve"> to form a </w:t>
      </w:r>
      <w:r w:rsidR="0040462E">
        <w:rPr>
          <w:rFonts w:ascii="Barlow" w:hAnsi="Barlow" w:cs="Helvetica"/>
          <w:sz w:val="20"/>
          <w:szCs w:val="20"/>
          <w:lang w:val="en-GB"/>
        </w:rPr>
        <w:t xml:space="preserve">local </w:t>
      </w:r>
      <w:r w:rsidRPr="000B769A">
        <w:rPr>
          <w:rFonts w:ascii="Barlow" w:hAnsi="Barlow" w:cs="Helvetica"/>
          <w:sz w:val="20"/>
          <w:szCs w:val="20"/>
          <w:lang w:val="en-GB"/>
        </w:rPr>
        <w:t xml:space="preserve">partnership comprising </w:t>
      </w:r>
      <w:r w:rsidR="0040462E">
        <w:rPr>
          <w:rFonts w:ascii="Barlow" w:hAnsi="Barlow" w:cs="Helvetica"/>
          <w:sz w:val="20"/>
          <w:szCs w:val="20"/>
          <w:lang w:val="en-GB"/>
        </w:rPr>
        <w:t>relevant local stakeholders such as:</w:t>
      </w:r>
      <w:r w:rsidRPr="000B769A">
        <w:rPr>
          <w:rFonts w:ascii="Barlow" w:hAnsi="Barlow" w:cs="Helvetica"/>
          <w:sz w:val="20"/>
          <w:szCs w:val="20"/>
          <w:lang w:val="en-GB"/>
        </w:rPr>
        <w:t xml:space="preserve"> </w:t>
      </w:r>
    </w:p>
    <w:p w14:paraId="56669A4E" w14:textId="77777777" w:rsidR="001B07A5" w:rsidRPr="000B769A" w:rsidRDefault="001B07A5" w:rsidP="00DE6610">
      <w:pPr>
        <w:numPr>
          <w:ilvl w:val="0"/>
          <w:numId w:val="2"/>
        </w:numPr>
        <w:autoSpaceDE w:val="0"/>
        <w:autoSpaceDN w:val="0"/>
        <w:adjustRightInd w:val="0"/>
        <w:spacing w:before="120" w:after="120" w:line="280" w:lineRule="atLeast"/>
        <w:contextualSpacing/>
        <w:jc w:val="both"/>
        <w:rPr>
          <w:rFonts w:ascii="Barlow" w:hAnsi="Barlow" w:cs="Helvetica"/>
          <w:sz w:val="20"/>
          <w:szCs w:val="20"/>
          <w:lang w:val="en-GB"/>
        </w:rPr>
      </w:pPr>
      <w:r w:rsidRPr="000B769A">
        <w:rPr>
          <w:rFonts w:ascii="Barlow" w:hAnsi="Barlow" w:cs="Helvetica"/>
          <w:sz w:val="20"/>
          <w:szCs w:val="20"/>
          <w:lang w:val="en-GB"/>
        </w:rPr>
        <w:t xml:space="preserve">its </w:t>
      </w:r>
      <w:r w:rsidRPr="00D500BC">
        <w:rPr>
          <w:rFonts w:ascii="Barlow" w:hAnsi="Barlow" w:cs="Helvetica"/>
          <w:b/>
          <w:bCs/>
          <w:sz w:val="20"/>
          <w:szCs w:val="20"/>
          <w:lang w:val="en-GB"/>
        </w:rPr>
        <w:t xml:space="preserve">National </w:t>
      </w:r>
      <w:r w:rsidR="00D23E6D" w:rsidRPr="00D500BC">
        <w:rPr>
          <w:rFonts w:ascii="Barlow" w:hAnsi="Barlow" w:cs="Helvetica"/>
          <w:b/>
          <w:bCs/>
          <w:sz w:val="20"/>
          <w:szCs w:val="20"/>
          <w:lang w:val="en-GB"/>
        </w:rPr>
        <w:t xml:space="preserve">and/or Regional </w:t>
      </w:r>
      <w:r w:rsidRPr="00D500BC">
        <w:rPr>
          <w:rFonts w:ascii="Barlow" w:hAnsi="Barlow" w:cs="Helvetica"/>
          <w:b/>
          <w:bCs/>
          <w:sz w:val="20"/>
          <w:szCs w:val="20"/>
          <w:lang w:val="en-GB"/>
        </w:rPr>
        <w:t xml:space="preserve">Authority </w:t>
      </w:r>
      <w:r w:rsidRPr="00D500BC">
        <w:rPr>
          <w:rFonts w:ascii="Barlow" w:hAnsi="Barlow" w:cs="Helvetica"/>
          <w:sz w:val="20"/>
          <w:szCs w:val="20"/>
          <w:lang w:val="en-GB"/>
        </w:rPr>
        <w:t xml:space="preserve">competent </w:t>
      </w:r>
      <w:r w:rsidRPr="000B769A">
        <w:rPr>
          <w:rFonts w:ascii="Barlow" w:hAnsi="Barlow" w:cs="Helvetica"/>
          <w:sz w:val="20"/>
          <w:szCs w:val="20"/>
          <w:lang w:val="en-GB"/>
        </w:rPr>
        <w:t>in the field of sustainable urban development</w:t>
      </w:r>
    </w:p>
    <w:p w14:paraId="393A8B03" w14:textId="192E4FFF" w:rsidR="001B07A5" w:rsidRPr="00D500BC" w:rsidRDefault="007C46BF" w:rsidP="00DE6610">
      <w:pPr>
        <w:numPr>
          <w:ilvl w:val="0"/>
          <w:numId w:val="2"/>
        </w:numPr>
        <w:autoSpaceDE w:val="0"/>
        <w:autoSpaceDN w:val="0"/>
        <w:adjustRightInd w:val="0"/>
        <w:spacing w:before="120" w:after="120" w:line="280" w:lineRule="atLeast"/>
        <w:contextualSpacing/>
        <w:jc w:val="both"/>
        <w:rPr>
          <w:rFonts w:ascii="Barlow" w:hAnsi="Barlow" w:cs="Helvetica"/>
          <w:b/>
          <w:bCs/>
          <w:sz w:val="20"/>
          <w:szCs w:val="20"/>
          <w:lang w:val="en-GB"/>
        </w:rPr>
      </w:pPr>
      <w:r w:rsidRPr="00D500BC">
        <w:rPr>
          <w:rFonts w:ascii="Barlow" w:hAnsi="Barlow" w:cs="Helvetica"/>
          <w:b/>
          <w:bCs/>
          <w:sz w:val="20"/>
          <w:szCs w:val="20"/>
          <w:lang w:val="en-GB"/>
        </w:rPr>
        <w:t>local</w:t>
      </w:r>
      <w:r w:rsidR="001B07A5" w:rsidRPr="00D500BC">
        <w:rPr>
          <w:rFonts w:ascii="Barlow" w:hAnsi="Barlow" w:cs="Helvetica"/>
          <w:b/>
          <w:bCs/>
          <w:sz w:val="20"/>
          <w:szCs w:val="20"/>
          <w:lang w:val="en-GB"/>
        </w:rPr>
        <w:t xml:space="preserve"> Town Centre Management</w:t>
      </w:r>
      <w:r w:rsidRPr="00D500BC">
        <w:rPr>
          <w:rFonts w:ascii="Barlow" w:hAnsi="Barlow" w:cs="Helvetica"/>
          <w:b/>
          <w:bCs/>
          <w:sz w:val="20"/>
          <w:szCs w:val="20"/>
          <w:lang w:val="en-GB"/>
        </w:rPr>
        <w:t>s</w:t>
      </w:r>
    </w:p>
    <w:p w14:paraId="37C2A4F5" w14:textId="3B3BCB2F" w:rsidR="00630D4B" w:rsidRPr="000B769A" w:rsidRDefault="00630D4B" w:rsidP="00DE6610">
      <w:pPr>
        <w:numPr>
          <w:ilvl w:val="0"/>
          <w:numId w:val="2"/>
        </w:numPr>
        <w:autoSpaceDE w:val="0"/>
        <w:autoSpaceDN w:val="0"/>
        <w:adjustRightInd w:val="0"/>
        <w:spacing w:before="120" w:after="120" w:line="280" w:lineRule="atLeast"/>
        <w:contextualSpacing/>
        <w:jc w:val="both"/>
        <w:rPr>
          <w:rFonts w:ascii="Barlow" w:hAnsi="Barlow" w:cs="Helvetica"/>
          <w:sz w:val="20"/>
          <w:szCs w:val="20"/>
          <w:lang w:val="en-GB"/>
        </w:rPr>
      </w:pPr>
      <w:r>
        <w:rPr>
          <w:rFonts w:ascii="Barlow" w:hAnsi="Barlow" w:cs="Helvetica"/>
          <w:sz w:val="20"/>
          <w:szCs w:val="20"/>
          <w:lang w:val="en-GB"/>
        </w:rPr>
        <w:t>any relevant stakeholder (public, private, association, civil society, …), in the fields of addressed challenges.</w:t>
      </w:r>
    </w:p>
    <w:p w14:paraId="15F3C26A" w14:textId="77777777" w:rsidR="00497D3D" w:rsidRPr="000B769A" w:rsidRDefault="00497D3D" w:rsidP="00DE6610">
      <w:pPr>
        <w:autoSpaceDE w:val="0"/>
        <w:autoSpaceDN w:val="0"/>
        <w:adjustRightInd w:val="0"/>
        <w:spacing w:before="120" w:after="120" w:line="280" w:lineRule="atLeast"/>
        <w:ind w:firstLine="705"/>
        <w:contextualSpacing/>
        <w:jc w:val="both"/>
        <w:rPr>
          <w:rFonts w:ascii="Barlow" w:hAnsi="Barlow" w:cs="Helvetica"/>
          <w:sz w:val="20"/>
          <w:szCs w:val="20"/>
          <w:lang w:val="en-GB"/>
        </w:rPr>
      </w:pPr>
    </w:p>
    <w:p w14:paraId="43762B8F" w14:textId="244383C1" w:rsidR="00497D3D" w:rsidRPr="002E7684" w:rsidRDefault="00A23947" w:rsidP="006F433B">
      <w:pPr>
        <w:autoSpaceDE w:val="0"/>
        <w:autoSpaceDN w:val="0"/>
        <w:adjustRightInd w:val="0"/>
        <w:spacing w:before="120" w:after="120" w:line="280" w:lineRule="atLeast"/>
        <w:contextualSpacing/>
        <w:jc w:val="both"/>
        <w:rPr>
          <w:rFonts w:ascii="Barlow" w:hAnsi="Barlow" w:cs="Helvetica"/>
          <w:sz w:val="20"/>
          <w:szCs w:val="20"/>
          <w:lang w:val="en-GB"/>
        </w:rPr>
      </w:pPr>
      <w:proofErr w:type="spellStart"/>
      <w:r w:rsidRPr="002C7527">
        <w:rPr>
          <w:rFonts w:ascii="Barlow" w:hAnsi="Barlow"/>
          <w:b/>
          <w:sz w:val="20"/>
          <w:szCs w:val="20"/>
          <w:lang w:val="en-US"/>
        </w:rPr>
        <w:t>Cities@Heart</w:t>
      </w:r>
      <w:proofErr w:type="spellEnd"/>
      <w:r w:rsidRPr="002C7527">
        <w:rPr>
          <w:rFonts w:ascii="Barlow" w:hAnsi="Barlow"/>
          <w:b/>
          <w:sz w:val="20"/>
          <w:szCs w:val="20"/>
          <w:lang w:val="en-US"/>
        </w:rPr>
        <w:t xml:space="preserve"> </w:t>
      </w:r>
      <w:r w:rsidR="00630D4B" w:rsidRPr="002C7527">
        <w:rPr>
          <w:rFonts w:ascii="Barlow" w:hAnsi="Barlow" w:cs="Helvetica"/>
          <w:sz w:val="20"/>
          <w:szCs w:val="20"/>
          <w:lang w:val="en-GB"/>
        </w:rPr>
        <w:t>is</w:t>
      </w:r>
      <w:r w:rsidR="0040462E" w:rsidRPr="002C7527">
        <w:rPr>
          <w:rFonts w:ascii="Barlow" w:hAnsi="Barlow" w:cs="Helvetica"/>
          <w:sz w:val="20"/>
          <w:szCs w:val="20"/>
          <w:lang w:val="en-GB"/>
        </w:rPr>
        <w:t xml:space="preserve"> looking</w:t>
      </w:r>
      <w:r w:rsidR="0040462E">
        <w:rPr>
          <w:rFonts w:ascii="Barlow" w:hAnsi="Barlow" w:cs="Helvetica"/>
          <w:sz w:val="20"/>
          <w:szCs w:val="20"/>
          <w:lang w:val="en-GB"/>
        </w:rPr>
        <w:t xml:space="preserve"> for cities from </w:t>
      </w:r>
      <w:r w:rsidR="0040462E" w:rsidRPr="00D500BC">
        <w:rPr>
          <w:rFonts w:ascii="Barlow" w:hAnsi="Barlow" w:cs="Helvetica"/>
          <w:b/>
          <w:bCs/>
          <w:sz w:val="20"/>
          <w:szCs w:val="20"/>
          <w:lang w:val="en-GB"/>
        </w:rPr>
        <w:t>different sizes and various backgrounds</w:t>
      </w:r>
      <w:r w:rsidR="0040462E">
        <w:rPr>
          <w:rFonts w:ascii="Barlow" w:hAnsi="Barlow" w:cs="Helvetica"/>
          <w:sz w:val="20"/>
          <w:szCs w:val="20"/>
          <w:lang w:val="en-GB"/>
        </w:rPr>
        <w:t xml:space="preserve">, all committed to improving the efficiency of their urban </w:t>
      </w:r>
      <w:r w:rsidR="0040462E" w:rsidRPr="002E7684">
        <w:rPr>
          <w:rFonts w:ascii="Barlow" w:hAnsi="Barlow" w:cs="Helvetica"/>
          <w:sz w:val="20"/>
          <w:szCs w:val="20"/>
          <w:lang w:val="en-GB"/>
        </w:rPr>
        <w:t>policies</w:t>
      </w:r>
      <w:r w:rsidRPr="002E7684">
        <w:rPr>
          <w:rFonts w:ascii="Barlow" w:hAnsi="Barlow" w:cs="Helvetica"/>
          <w:sz w:val="20"/>
          <w:szCs w:val="20"/>
          <w:lang w:val="en-GB"/>
        </w:rPr>
        <w:t>’ successful and sustainable impleme</w:t>
      </w:r>
      <w:r w:rsidR="002E7684" w:rsidRPr="002E7684">
        <w:rPr>
          <w:rFonts w:ascii="Barlow" w:hAnsi="Barlow" w:cs="Helvetica"/>
          <w:sz w:val="20"/>
          <w:szCs w:val="20"/>
          <w:lang w:val="en-GB"/>
        </w:rPr>
        <w:t>n</w:t>
      </w:r>
      <w:r w:rsidRPr="002E7684">
        <w:rPr>
          <w:rFonts w:ascii="Barlow" w:hAnsi="Barlow" w:cs="Helvetica"/>
          <w:sz w:val="20"/>
          <w:szCs w:val="20"/>
          <w:lang w:val="en-GB"/>
        </w:rPr>
        <w:t>tation</w:t>
      </w:r>
      <w:r w:rsidR="0040462E" w:rsidRPr="002E7684">
        <w:rPr>
          <w:rFonts w:ascii="Barlow" w:hAnsi="Barlow" w:cs="Helvetica"/>
          <w:sz w:val="20"/>
          <w:szCs w:val="20"/>
          <w:lang w:val="en-GB"/>
        </w:rPr>
        <w:t xml:space="preserve">. </w:t>
      </w:r>
    </w:p>
    <w:p w14:paraId="2771D8A1" w14:textId="77777777" w:rsidR="006F433B" w:rsidRDefault="0040462E" w:rsidP="0040462E">
      <w:pPr>
        <w:autoSpaceDE w:val="0"/>
        <w:autoSpaceDN w:val="0"/>
        <w:adjustRightInd w:val="0"/>
        <w:spacing w:before="120" w:after="120" w:line="280" w:lineRule="atLeast"/>
        <w:contextualSpacing/>
        <w:jc w:val="both"/>
        <w:rPr>
          <w:rFonts w:ascii="Barlow" w:hAnsi="Barlow" w:cs="Helvetica"/>
          <w:sz w:val="20"/>
          <w:szCs w:val="20"/>
          <w:lang w:val="en-GB"/>
        </w:rPr>
      </w:pPr>
      <w:r w:rsidRPr="00D500BC">
        <w:rPr>
          <w:rFonts w:ascii="Barlow" w:hAnsi="Barlow" w:cs="Helvetica"/>
          <w:b/>
          <w:bCs/>
          <w:sz w:val="20"/>
          <w:szCs w:val="20"/>
          <w:lang w:val="en-GB"/>
        </w:rPr>
        <w:t>Universities and experts</w:t>
      </w:r>
      <w:r w:rsidR="00793FB3" w:rsidRPr="00D500BC">
        <w:rPr>
          <w:rFonts w:ascii="Barlow" w:hAnsi="Barlow" w:cs="Helvetica"/>
          <w:sz w:val="20"/>
          <w:szCs w:val="20"/>
          <w:lang w:val="en-GB"/>
        </w:rPr>
        <w:t xml:space="preserve"> </w:t>
      </w:r>
      <w:r w:rsidR="00D442B2" w:rsidRPr="000B769A">
        <w:rPr>
          <w:rFonts w:ascii="Barlow" w:hAnsi="Barlow" w:cs="Helvetica"/>
          <w:sz w:val="20"/>
          <w:szCs w:val="20"/>
          <w:lang w:val="en-GB"/>
        </w:rPr>
        <w:t xml:space="preserve">specialised in the area and/or </w:t>
      </w:r>
      <w:r w:rsidR="00793FB3" w:rsidRPr="000B769A">
        <w:rPr>
          <w:rFonts w:ascii="Barlow" w:hAnsi="Barlow" w:cs="Helvetica"/>
          <w:sz w:val="20"/>
          <w:szCs w:val="20"/>
          <w:lang w:val="en-GB"/>
        </w:rPr>
        <w:t xml:space="preserve">having an interest in the field will also be offered a </w:t>
      </w:r>
      <w:r w:rsidR="00793FB3" w:rsidRPr="00D500BC">
        <w:rPr>
          <w:rFonts w:ascii="Barlow" w:hAnsi="Barlow" w:cs="Helvetica"/>
          <w:b/>
          <w:bCs/>
          <w:sz w:val="20"/>
          <w:szCs w:val="20"/>
          <w:lang w:val="en-GB"/>
        </w:rPr>
        <w:t>partner or observer position</w:t>
      </w:r>
      <w:r w:rsidR="00793FB3" w:rsidRPr="000B769A">
        <w:rPr>
          <w:rFonts w:ascii="Barlow" w:hAnsi="Barlow" w:cs="Helvetica"/>
          <w:sz w:val="20"/>
          <w:szCs w:val="20"/>
          <w:lang w:val="en-GB"/>
        </w:rPr>
        <w:t xml:space="preserve"> in the partnership. </w:t>
      </w:r>
    </w:p>
    <w:p w14:paraId="55905D7F" w14:textId="77777777" w:rsidR="00497D3D" w:rsidRPr="000B769A" w:rsidRDefault="00D442B2" w:rsidP="006F433B">
      <w:pPr>
        <w:autoSpaceDE w:val="0"/>
        <w:autoSpaceDN w:val="0"/>
        <w:adjustRightInd w:val="0"/>
        <w:spacing w:before="120" w:after="120" w:line="280" w:lineRule="atLeast"/>
        <w:contextualSpacing/>
        <w:jc w:val="both"/>
        <w:rPr>
          <w:rFonts w:ascii="Barlow" w:hAnsi="Barlow" w:cs="Helvetica"/>
          <w:sz w:val="20"/>
          <w:szCs w:val="20"/>
          <w:lang w:val="en-GB"/>
        </w:rPr>
      </w:pPr>
      <w:r w:rsidRPr="000B769A">
        <w:rPr>
          <w:rFonts w:ascii="Barlow" w:hAnsi="Barlow" w:cs="Helvetica"/>
          <w:sz w:val="20"/>
          <w:szCs w:val="20"/>
          <w:lang w:val="en-GB"/>
        </w:rPr>
        <w:t>Other Organisation</w:t>
      </w:r>
      <w:r w:rsidR="00D23E6D" w:rsidRPr="000B769A">
        <w:rPr>
          <w:rFonts w:ascii="Barlow" w:hAnsi="Barlow" w:cs="Helvetica"/>
          <w:sz w:val="20"/>
          <w:szCs w:val="20"/>
          <w:lang w:val="en-GB"/>
        </w:rPr>
        <w:t>s</w:t>
      </w:r>
      <w:r w:rsidRPr="000B769A">
        <w:rPr>
          <w:rFonts w:ascii="Barlow" w:hAnsi="Barlow" w:cs="Helvetica"/>
          <w:sz w:val="20"/>
          <w:szCs w:val="20"/>
          <w:lang w:val="en-GB"/>
        </w:rPr>
        <w:t xml:space="preserve"> working on similar themes albeit in more specific contexts could also be invited either as partners or observers, depending on their input capacity</w:t>
      </w:r>
      <w:r w:rsidR="0070433A" w:rsidRPr="000B769A">
        <w:rPr>
          <w:rFonts w:ascii="Barlow" w:hAnsi="Barlow" w:cs="Helvetica"/>
          <w:sz w:val="20"/>
          <w:szCs w:val="20"/>
          <w:lang w:val="en-GB"/>
        </w:rPr>
        <w:t xml:space="preserve"> and</w:t>
      </w:r>
      <w:r w:rsidRPr="000B769A">
        <w:rPr>
          <w:rFonts w:ascii="Barlow" w:hAnsi="Barlow" w:cs="Helvetica"/>
          <w:sz w:val="20"/>
          <w:szCs w:val="20"/>
          <w:lang w:val="en-GB"/>
        </w:rPr>
        <w:t xml:space="preserve"> on their motivations. </w:t>
      </w:r>
    </w:p>
    <w:p w14:paraId="1E5FB624" w14:textId="77777777" w:rsidR="00D442B2" w:rsidRPr="000B769A" w:rsidRDefault="00D442B2" w:rsidP="00DE6610">
      <w:pPr>
        <w:autoSpaceDE w:val="0"/>
        <w:autoSpaceDN w:val="0"/>
        <w:adjustRightInd w:val="0"/>
        <w:spacing w:before="120" w:after="120" w:line="280" w:lineRule="atLeast"/>
        <w:ind w:firstLine="705"/>
        <w:contextualSpacing/>
        <w:jc w:val="both"/>
        <w:rPr>
          <w:rFonts w:ascii="Barlow" w:hAnsi="Barlow" w:cs="Helvetica"/>
          <w:sz w:val="20"/>
          <w:szCs w:val="20"/>
          <w:lang w:val="en-GB"/>
        </w:rPr>
      </w:pPr>
    </w:p>
    <w:p w14:paraId="58DB5739" w14:textId="77777777" w:rsidR="00497D3D" w:rsidRPr="002E7684" w:rsidRDefault="00497D3D" w:rsidP="00D77CEA">
      <w:pPr>
        <w:numPr>
          <w:ilvl w:val="0"/>
          <w:numId w:val="10"/>
        </w:numPr>
        <w:spacing w:before="120" w:after="120" w:line="280" w:lineRule="atLeast"/>
        <w:contextualSpacing/>
        <w:jc w:val="both"/>
        <w:rPr>
          <w:rFonts w:ascii="Barlow" w:hAnsi="Barlow"/>
          <w:b/>
          <w:bCs/>
          <w:sz w:val="20"/>
          <w:szCs w:val="20"/>
          <w:u w:val="single"/>
          <w:lang w:val="en-GB"/>
        </w:rPr>
      </w:pPr>
      <w:r w:rsidRPr="002E7684">
        <w:rPr>
          <w:rFonts w:ascii="Barlow" w:hAnsi="Barlow"/>
          <w:b/>
          <w:bCs/>
          <w:sz w:val="20"/>
          <w:szCs w:val="20"/>
          <w:u w:val="single"/>
          <w:lang w:val="en-GB"/>
        </w:rPr>
        <w:t>Budget</w:t>
      </w:r>
    </w:p>
    <w:p w14:paraId="71ADFEDE" w14:textId="77777777" w:rsidR="0040462E" w:rsidRDefault="0040462E" w:rsidP="0040462E">
      <w:pPr>
        <w:autoSpaceDE w:val="0"/>
        <w:autoSpaceDN w:val="0"/>
        <w:adjustRightInd w:val="0"/>
        <w:spacing w:before="120" w:after="120" w:line="280" w:lineRule="atLeast"/>
        <w:contextualSpacing/>
        <w:jc w:val="both"/>
        <w:rPr>
          <w:rFonts w:ascii="Barlow" w:hAnsi="Barlow"/>
          <w:sz w:val="20"/>
          <w:szCs w:val="20"/>
          <w:u w:val="single"/>
          <w:lang w:val="en-GB"/>
        </w:rPr>
      </w:pPr>
    </w:p>
    <w:p w14:paraId="1216D4DC" w14:textId="22F05A48" w:rsidR="00497D3D" w:rsidRPr="00630D4B" w:rsidRDefault="0040462E" w:rsidP="00630D4B">
      <w:pPr>
        <w:autoSpaceDE w:val="0"/>
        <w:autoSpaceDN w:val="0"/>
        <w:adjustRightInd w:val="0"/>
        <w:spacing w:before="120" w:after="120" w:line="280" w:lineRule="atLeast"/>
        <w:jc w:val="both"/>
        <w:rPr>
          <w:rFonts w:ascii="Barlow" w:hAnsi="Barlow" w:cs="Helvetica"/>
          <w:sz w:val="20"/>
          <w:szCs w:val="20"/>
          <w:lang w:val="en-GB"/>
        </w:rPr>
      </w:pPr>
      <w:r>
        <w:rPr>
          <w:rFonts w:ascii="Barlow" w:hAnsi="Barlow" w:cs="Helvetica"/>
          <w:sz w:val="20"/>
          <w:szCs w:val="20"/>
          <w:lang w:val="en-GB"/>
        </w:rPr>
        <w:t>To be defined with the partnership</w:t>
      </w:r>
      <w:r w:rsidR="009E2C3D">
        <w:rPr>
          <w:rFonts w:ascii="Barlow" w:hAnsi="Barlow" w:cs="Helvetica"/>
          <w:sz w:val="20"/>
          <w:szCs w:val="20"/>
          <w:lang w:val="en-GB"/>
        </w:rPr>
        <w:t xml:space="preserve"> with a m</w:t>
      </w:r>
      <w:r w:rsidR="006F433B">
        <w:rPr>
          <w:rFonts w:ascii="Barlow" w:hAnsi="Barlow" w:cs="Helvetica"/>
          <w:sz w:val="20"/>
          <w:szCs w:val="20"/>
          <w:lang w:val="en-GB"/>
        </w:rPr>
        <w:t>aximum budget of 850.000€</w:t>
      </w:r>
      <w:r w:rsidR="00630D4B">
        <w:rPr>
          <w:rFonts w:ascii="Barlow" w:hAnsi="Barlow" w:cs="Helvetica"/>
          <w:sz w:val="20"/>
          <w:szCs w:val="20"/>
          <w:lang w:val="en-GB"/>
        </w:rPr>
        <w:t xml:space="preserve">. </w:t>
      </w:r>
      <w:r w:rsidR="00497D3D" w:rsidRPr="000B769A">
        <w:rPr>
          <w:rFonts w:ascii="Barlow" w:hAnsi="Barlow"/>
          <w:sz w:val="20"/>
          <w:szCs w:val="20"/>
          <w:lang w:val="en-GB"/>
        </w:rPr>
        <w:t>Co</w:t>
      </w:r>
      <w:r w:rsidR="006F433B">
        <w:rPr>
          <w:rFonts w:ascii="Barlow" w:hAnsi="Barlow"/>
          <w:sz w:val="20"/>
          <w:szCs w:val="20"/>
          <w:lang w:val="en-GB"/>
        </w:rPr>
        <w:t>-</w:t>
      </w:r>
      <w:r w:rsidR="00497D3D" w:rsidRPr="000B769A">
        <w:rPr>
          <w:rFonts w:ascii="Barlow" w:hAnsi="Barlow"/>
          <w:sz w:val="20"/>
          <w:szCs w:val="20"/>
          <w:lang w:val="en-GB"/>
        </w:rPr>
        <w:t xml:space="preserve">financing rates are as follows: </w:t>
      </w:r>
    </w:p>
    <w:tbl>
      <w:tblPr>
        <w:tblStyle w:val="Grilledutableau"/>
        <w:tblW w:w="9209" w:type="dxa"/>
        <w:jc w:val="center"/>
        <w:tblLook w:val="04A0" w:firstRow="1" w:lastRow="0" w:firstColumn="1" w:lastColumn="0" w:noHBand="0" w:noVBand="1"/>
      </w:tblPr>
      <w:tblGrid>
        <w:gridCol w:w="2235"/>
        <w:gridCol w:w="6974"/>
      </w:tblGrid>
      <w:tr w:rsidR="006F433B" w:rsidRPr="006F433B" w14:paraId="17F84FA9" w14:textId="77777777" w:rsidTr="00630D4B">
        <w:trPr>
          <w:jc w:val="center"/>
        </w:trPr>
        <w:tc>
          <w:tcPr>
            <w:tcW w:w="2235" w:type="dxa"/>
            <w:shd w:val="clear" w:color="auto" w:fill="A5A5A5" w:themeFill="accent3"/>
            <w:vAlign w:val="center"/>
          </w:tcPr>
          <w:p w14:paraId="10F0A762" w14:textId="77777777" w:rsidR="006F433B" w:rsidRPr="006F433B" w:rsidRDefault="006F433B" w:rsidP="006F433B">
            <w:pPr>
              <w:spacing w:before="120" w:after="120" w:line="280" w:lineRule="atLeast"/>
              <w:contextualSpacing/>
              <w:jc w:val="center"/>
              <w:rPr>
                <w:rFonts w:ascii="Barlow" w:hAnsi="Barlow"/>
                <w:b/>
                <w:color w:val="FFFFFF" w:themeColor="background1"/>
                <w:sz w:val="20"/>
                <w:szCs w:val="20"/>
                <w:lang w:val="en-GB"/>
              </w:rPr>
            </w:pPr>
            <w:r w:rsidRPr="006F433B">
              <w:rPr>
                <w:rFonts w:ascii="Barlow" w:hAnsi="Barlow"/>
                <w:b/>
                <w:color w:val="FFFFFF" w:themeColor="background1"/>
                <w:sz w:val="20"/>
                <w:szCs w:val="20"/>
                <w:lang w:val="en-GB"/>
              </w:rPr>
              <w:t>Co-financing rate</w:t>
            </w:r>
          </w:p>
        </w:tc>
        <w:tc>
          <w:tcPr>
            <w:tcW w:w="6974" w:type="dxa"/>
            <w:shd w:val="clear" w:color="auto" w:fill="A5A5A5" w:themeFill="accent3"/>
            <w:vAlign w:val="center"/>
          </w:tcPr>
          <w:p w14:paraId="7B521B90" w14:textId="77777777" w:rsidR="006F433B" w:rsidRPr="006F433B" w:rsidRDefault="006F433B" w:rsidP="006F433B">
            <w:pPr>
              <w:spacing w:before="120" w:after="120" w:line="280" w:lineRule="atLeast"/>
              <w:contextualSpacing/>
              <w:jc w:val="center"/>
              <w:rPr>
                <w:rFonts w:ascii="Barlow" w:hAnsi="Barlow"/>
                <w:b/>
                <w:color w:val="FFFFFF" w:themeColor="background1"/>
                <w:sz w:val="20"/>
                <w:szCs w:val="20"/>
                <w:lang w:val="en-GB"/>
              </w:rPr>
            </w:pPr>
            <w:r w:rsidRPr="006F433B">
              <w:rPr>
                <w:rFonts w:ascii="Barlow" w:hAnsi="Barlow"/>
                <w:b/>
                <w:color w:val="FFFFFF" w:themeColor="background1"/>
                <w:sz w:val="20"/>
                <w:szCs w:val="20"/>
                <w:lang w:val="en-GB"/>
              </w:rPr>
              <w:t>Regions</w:t>
            </w:r>
          </w:p>
        </w:tc>
      </w:tr>
      <w:tr w:rsidR="006F433B" w:rsidRPr="00087C61" w14:paraId="04201B3B" w14:textId="77777777" w:rsidTr="00630D4B">
        <w:trPr>
          <w:jc w:val="center"/>
        </w:trPr>
        <w:tc>
          <w:tcPr>
            <w:tcW w:w="2235" w:type="dxa"/>
            <w:vAlign w:val="center"/>
          </w:tcPr>
          <w:p w14:paraId="2C14D30C"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lastRenderedPageBreak/>
              <w:t>95% by IPA funds</w:t>
            </w:r>
          </w:p>
        </w:tc>
        <w:tc>
          <w:tcPr>
            <w:tcW w:w="6974" w:type="dxa"/>
            <w:vAlign w:val="center"/>
          </w:tcPr>
          <w:p w14:paraId="35F1463B" w14:textId="338F2C77" w:rsidR="006F433B" w:rsidRPr="00630D4B" w:rsidRDefault="00630D4B" w:rsidP="0040462E">
            <w:pPr>
              <w:spacing w:before="120" w:after="120" w:line="280" w:lineRule="atLeast"/>
              <w:contextualSpacing/>
              <w:jc w:val="both"/>
              <w:rPr>
                <w:rFonts w:ascii="Barlow" w:hAnsi="Barlow"/>
                <w:sz w:val="20"/>
                <w:szCs w:val="20"/>
                <w:lang w:val="en-US"/>
              </w:rPr>
            </w:pPr>
            <w:r w:rsidRPr="00630D4B">
              <w:rPr>
                <w:rFonts w:ascii="Barlow" w:hAnsi="Barlow"/>
                <w:sz w:val="20"/>
                <w:szCs w:val="20"/>
                <w:lang w:val="en-GB"/>
              </w:rPr>
              <w:t>Albania, Bosnia-Herzegovina, Kosovo, Montenegro, Serbia</w:t>
            </w:r>
            <w:r>
              <w:rPr>
                <w:rFonts w:ascii="Barlow" w:hAnsi="Barlow"/>
                <w:sz w:val="20"/>
                <w:szCs w:val="20"/>
                <w:lang w:val="en-GB"/>
              </w:rPr>
              <w:t xml:space="preserve">, &amp; </w:t>
            </w:r>
            <w:r w:rsidRPr="00630D4B">
              <w:rPr>
                <w:rFonts w:ascii="Barlow" w:hAnsi="Barlow"/>
                <w:sz w:val="20"/>
                <w:szCs w:val="20"/>
                <w:lang w:val="en-GB"/>
              </w:rPr>
              <w:t>North Macedonia</w:t>
            </w:r>
          </w:p>
        </w:tc>
      </w:tr>
      <w:tr w:rsidR="006F433B" w:rsidRPr="00087C61" w14:paraId="5FD59D04" w14:textId="77777777" w:rsidTr="00630D4B">
        <w:trPr>
          <w:jc w:val="center"/>
        </w:trPr>
        <w:tc>
          <w:tcPr>
            <w:tcW w:w="2235" w:type="dxa"/>
            <w:vAlign w:val="center"/>
          </w:tcPr>
          <w:p w14:paraId="5EC15915"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80% by ERDF funds</w:t>
            </w:r>
          </w:p>
        </w:tc>
        <w:tc>
          <w:tcPr>
            <w:tcW w:w="6974" w:type="dxa"/>
            <w:vAlign w:val="center"/>
          </w:tcPr>
          <w:p w14:paraId="3A8372BD" w14:textId="636A42AB"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Less developed regions</w:t>
            </w:r>
            <w:r w:rsidR="00630D4B">
              <w:rPr>
                <w:rFonts w:ascii="Barlow" w:hAnsi="Barlow"/>
                <w:sz w:val="20"/>
                <w:szCs w:val="20"/>
                <w:lang w:val="en-GB"/>
              </w:rPr>
              <w:t xml:space="preserve"> (See map)</w:t>
            </w:r>
          </w:p>
        </w:tc>
      </w:tr>
      <w:tr w:rsidR="006F433B" w:rsidRPr="00087C61" w14:paraId="3D5C6DBE" w14:textId="77777777" w:rsidTr="00630D4B">
        <w:trPr>
          <w:jc w:val="center"/>
        </w:trPr>
        <w:tc>
          <w:tcPr>
            <w:tcW w:w="2235" w:type="dxa"/>
            <w:vAlign w:val="center"/>
          </w:tcPr>
          <w:p w14:paraId="20F592EC"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70% by ERDF funds</w:t>
            </w:r>
          </w:p>
        </w:tc>
        <w:tc>
          <w:tcPr>
            <w:tcW w:w="6974" w:type="dxa"/>
            <w:vAlign w:val="center"/>
          </w:tcPr>
          <w:p w14:paraId="081233DE" w14:textId="51E0F0EB"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Regions in transition</w:t>
            </w:r>
            <w:r w:rsidR="00630D4B">
              <w:rPr>
                <w:rFonts w:ascii="Barlow" w:hAnsi="Barlow"/>
                <w:sz w:val="20"/>
                <w:szCs w:val="20"/>
                <w:lang w:val="en-GB"/>
              </w:rPr>
              <w:t xml:space="preserve"> (See map)</w:t>
            </w:r>
          </w:p>
        </w:tc>
      </w:tr>
      <w:tr w:rsidR="006F433B" w:rsidRPr="00087C61" w14:paraId="16840830" w14:textId="77777777" w:rsidTr="00630D4B">
        <w:trPr>
          <w:jc w:val="center"/>
        </w:trPr>
        <w:tc>
          <w:tcPr>
            <w:tcW w:w="2235" w:type="dxa"/>
            <w:vAlign w:val="center"/>
          </w:tcPr>
          <w:p w14:paraId="1DEADE4E"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65% by ERDF funds</w:t>
            </w:r>
          </w:p>
        </w:tc>
        <w:tc>
          <w:tcPr>
            <w:tcW w:w="6974" w:type="dxa"/>
            <w:vAlign w:val="center"/>
          </w:tcPr>
          <w:p w14:paraId="565F065D" w14:textId="080BAFBC"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More developed regions</w:t>
            </w:r>
            <w:r w:rsidR="00630D4B">
              <w:rPr>
                <w:rFonts w:ascii="Barlow" w:hAnsi="Barlow"/>
                <w:sz w:val="20"/>
                <w:szCs w:val="20"/>
                <w:lang w:val="en-GB"/>
              </w:rPr>
              <w:t xml:space="preserve"> (See map)</w:t>
            </w:r>
          </w:p>
        </w:tc>
      </w:tr>
      <w:tr w:rsidR="006F433B" w14:paraId="51F74E89" w14:textId="77777777" w:rsidTr="00630D4B">
        <w:trPr>
          <w:jc w:val="center"/>
        </w:trPr>
        <w:tc>
          <w:tcPr>
            <w:tcW w:w="2235" w:type="dxa"/>
            <w:vAlign w:val="center"/>
          </w:tcPr>
          <w:p w14:paraId="623ACA37"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50% by national funds</w:t>
            </w:r>
          </w:p>
        </w:tc>
        <w:tc>
          <w:tcPr>
            <w:tcW w:w="6974" w:type="dxa"/>
            <w:vAlign w:val="center"/>
          </w:tcPr>
          <w:p w14:paraId="046C8357"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Partner-states: Norway, Switzerland</w:t>
            </w:r>
          </w:p>
        </w:tc>
      </w:tr>
      <w:tr w:rsidR="006F433B" w:rsidRPr="00087C61" w14:paraId="7EF21901" w14:textId="77777777" w:rsidTr="00630D4B">
        <w:trPr>
          <w:jc w:val="center"/>
        </w:trPr>
        <w:tc>
          <w:tcPr>
            <w:tcW w:w="2235" w:type="dxa"/>
            <w:vAlign w:val="center"/>
          </w:tcPr>
          <w:p w14:paraId="178CC4E0"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w:t>
            </w:r>
          </w:p>
        </w:tc>
        <w:tc>
          <w:tcPr>
            <w:tcW w:w="6974" w:type="dxa"/>
            <w:vAlign w:val="center"/>
          </w:tcPr>
          <w:p w14:paraId="0E697675" w14:textId="77777777" w:rsidR="006F433B" w:rsidRDefault="006F433B" w:rsidP="0040462E">
            <w:pPr>
              <w:spacing w:before="120" w:after="120" w:line="280" w:lineRule="atLeast"/>
              <w:contextualSpacing/>
              <w:jc w:val="both"/>
              <w:rPr>
                <w:rFonts w:ascii="Barlow" w:hAnsi="Barlow"/>
                <w:sz w:val="20"/>
                <w:szCs w:val="20"/>
                <w:lang w:val="en-GB"/>
              </w:rPr>
            </w:pPr>
            <w:r>
              <w:rPr>
                <w:rFonts w:ascii="Barlow" w:hAnsi="Barlow"/>
                <w:sz w:val="20"/>
                <w:szCs w:val="20"/>
                <w:lang w:val="en-GB"/>
              </w:rPr>
              <w:t>Partners from other countries may participate at their own costs</w:t>
            </w:r>
          </w:p>
        </w:tc>
      </w:tr>
    </w:tbl>
    <w:p w14:paraId="67CE7543" w14:textId="04EDE578" w:rsidR="0035431F" w:rsidRPr="00D500BC" w:rsidRDefault="00D33F3A" w:rsidP="002D2D83">
      <w:pPr>
        <w:spacing w:before="240" w:after="120" w:line="280" w:lineRule="atLeast"/>
        <w:jc w:val="both"/>
        <w:rPr>
          <w:rFonts w:ascii="Barlow" w:hAnsi="Barlow"/>
          <w:sz w:val="20"/>
          <w:szCs w:val="20"/>
          <w:lang w:val="en-GB"/>
        </w:rPr>
      </w:pPr>
      <w:r w:rsidRPr="00D500BC">
        <w:rPr>
          <w:rFonts w:ascii="Barlow" w:hAnsi="Barlow"/>
          <w:sz w:val="20"/>
          <w:szCs w:val="20"/>
          <w:lang w:val="en-GB"/>
        </w:rPr>
        <w:t>For each partner</w:t>
      </w:r>
      <w:r w:rsidR="003B31E7" w:rsidRPr="00D500BC">
        <w:rPr>
          <w:rFonts w:ascii="Barlow" w:hAnsi="Barlow"/>
          <w:sz w:val="20"/>
          <w:szCs w:val="20"/>
          <w:lang w:val="en-GB"/>
        </w:rPr>
        <w:t xml:space="preserve">, </w:t>
      </w:r>
      <w:r w:rsidR="008F7A17" w:rsidRPr="00D500BC">
        <w:rPr>
          <w:rFonts w:ascii="Barlow" w:hAnsi="Barlow"/>
          <w:sz w:val="20"/>
          <w:szCs w:val="20"/>
          <w:lang w:val="en-GB"/>
        </w:rPr>
        <w:t>the estimated total budget amounts to</w:t>
      </w:r>
      <w:r w:rsidR="001266A0">
        <w:rPr>
          <w:rFonts w:ascii="Barlow" w:hAnsi="Barlow"/>
          <w:sz w:val="20"/>
          <w:szCs w:val="20"/>
          <w:lang w:val="en-GB"/>
        </w:rPr>
        <w:t xml:space="preserve"> </w:t>
      </w:r>
      <w:r w:rsidR="002D2D83">
        <w:rPr>
          <w:rFonts w:ascii="Barlow" w:hAnsi="Barlow"/>
          <w:sz w:val="20"/>
          <w:szCs w:val="20"/>
          <w:lang w:val="en-GB"/>
        </w:rPr>
        <w:t>5</w:t>
      </w:r>
      <w:r w:rsidR="008F7A17" w:rsidRPr="00D500BC">
        <w:rPr>
          <w:rFonts w:ascii="Barlow" w:hAnsi="Barlow"/>
          <w:sz w:val="20"/>
          <w:szCs w:val="20"/>
          <w:lang w:val="en-GB"/>
        </w:rPr>
        <w:t>0</w:t>
      </w:r>
      <w:r w:rsidR="001266A0">
        <w:rPr>
          <w:rFonts w:ascii="Barlow" w:hAnsi="Barlow"/>
          <w:sz w:val="20"/>
          <w:szCs w:val="20"/>
          <w:lang w:val="en-GB"/>
        </w:rPr>
        <w:t> </w:t>
      </w:r>
      <w:r w:rsidR="008F7A17" w:rsidRPr="00D500BC">
        <w:rPr>
          <w:rFonts w:ascii="Barlow" w:hAnsi="Barlow"/>
          <w:sz w:val="20"/>
          <w:szCs w:val="20"/>
          <w:lang w:val="en-GB"/>
        </w:rPr>
        <w:t>000</w:t>
      </w:r>
      <w:r w:rsidR="001266A0">
        <w:rPr>
          <w:rFonts w:ascii="Barlow" w:hAnsi="Barlow"/>
          <w:sz w:val="20"/>
          <w:szCs w:val="20"/>
          <w:lang w:val="en-GB"/>
        </w:rPr>
        <w:t>€</w:t>
      </w:r>
      <w:r w:rsidR="002D2D83">
        <w:rPr>
          <w:rFonts w:ascii="Barlow" w:hAnsi="Barlow"/>
          <w:sz w:val="20"/>
          <w:szCs w:val="20"/>
          <w:lang w:val="en-GB"/>
        </w:rPr>
        <w:t xml:space="preserve"> to 80 000€</w:t>
      </w:r>
      <w:r w:rsidR="008F7A17" w:rsidRPr="00D500BC">
        <w:rPr>
          <w:rFonts w:ascii="Barlow" w:hAnsi="Barlow"/>
          <w:sz w:val="20"/>
          <w:szCs w:val="20"/>
          <w:lang w:val="en-GB"/>
        </w:rPr>
        <w:t xml:space="preserve"> </w:t>
      </w:r>
      <w:r w:rsidR="00F632C7" w:rsidRPr="00D500BC">
        <w:rPr>
          <w:rFonts w:ascii="Barlow" w:hAnsi="Barlow"/>
          <w:sz w:val="20"/>
          <w:szCs w:val="20"/>
          <w:lang w:val="en-GB"/>
        </w:rPr>
        <w:t>including</w:t>
      </w:r>
      <w:r w:rsidR="002C54A5" w:rsidRPr="00D500BC">
        <w:rPr>
          <w:rFonts w:ascii="Barlow" w:hAnsi="Barlow"/>
          <w:sz w:val="20"/>
          <w:szCs w:val="20"/>
          <w:lang w:val="en-GB"/>
        </w:rPr>
        <w:t xml:space="preserve"> 95% to 50% </w:t>
      </w:r>
      <w:r w:rsidR="00F632C7" w:rsidRPr="00D500BC">
        <w:rPr>
          <w:rFonts w:ascii="Barlow" w:hAnsi="Barlow"/>
          <w:sz w:val="20"/>
          <w:szCs w:val="20"/>
          <w:lang w:val="en-GB"/>
        </w:rPr>
        <w:t xml:space="preserve">of total expenses </w:t>
      </w:r>
      <w:r w:rsidR="002C54A5" w:rsidRPr="00D500BC">
        <w:rPr>
          <w:rFonts w:ascii="Barlow" w:hAnsi="Barlow"/>
          <w:sz w:val="20"/>
          <w:szCs w:val="20"/>
          <w:lang w:val="en-GB"/>
        </w:rPr>
        <w:t xml:space="preserve">refunded </w:t>
      </w:r>
      <w:r w:rsidR="00F632C7" w:rsidRPr="00D500BC">
        <w:rPr>
          <w:rFonts w:ascii="Barlow" w:hAnsi="Barlow"/>
          <w:sz w:val="20"/>
          <w:szCs w:val="20"/>
          <w:lang w:val="en-GB"/>
        </w:rPr>
        <w:t xml:space="preserve">and 5% to 50% </w:t>
      </w:r>
      <w:r w:rsidR="009306E5" w:rsidRPr="00D500BC">
        <w:rPr>
          <w:rFonts w:ascii="Barlow" w:hAnsi="Barlow"/>
          <w:sz w:val="20"/>
          <w:szCs w:val="20"/>
          <w:lang w:val="en-GB"/>
        </w:rPr>
        <w:t>at its own charge depending on the co-financing rates.</w:t>
      </w:r>
      <w:r w:rsidR="00F61C92">
        <w:rPr>
          <w:rFonts w:ascii="Barlow" w:hAnsi="Barlow"/>
          <w:sz w:val="20"/>
          <w:szCs w:val="20"/>
          <w:lang w:val="en-GB"/>
        </w:rPr>
        <w:t xml:space="preserve"> </w:t>
      </w:r>
      <w:r w:rsidR="002D2D83">
        <w:rPr>
          <w:rFonts w:ascii="Barlow" w:hAnsi="Barlow"/>
          <w:sz w:val="20"/>
          <w:szCs w:val="20"/>
          <w:lang w:val="en-GB"/>
        </w:rPr>
        <w:t xml:space="preserve">Existing equipment and already-employed staff </w:t>
      </w:r>
      <w:r w:rsidR="001266A0">
        <w:rPr>
          <w:rFonts w:ascii="Barlow" w:hAnsi="Barlow"/>
          <w:sz w:val="20"/>
          <w:szCs w:val="20"/>
          <w:lang w:val="en-GB"/>
        </w:rPr>
        <w:t>can also be included in this budget</w:t>
      </w:r>
      <w:r w:rsidR="002D2D83">
        <w:rPr>
          <w:rFonts w:ascii="Barlow" w:hAnsi="Barlow"/>
          <w:sz w:val="20"/>
          <w:szCs w:val="20"/>
          <w:lang w:val="en-GB"/>
        </w:rPr>
        <w:t xml:space="preserve"> </w:t>
      </w:r>
      <w:proofErr w:type="gramStart"/>
      <w:r w:rsidR="002D2D83">
        <w:rPr>
          <w:rFonts w:ascii="Barlow" w:hAnsi="Barlow"/>
          <w:sz w:val="20"/>
          <w:szCs w:val="20"/>
          <w:lang w:val="en-GB"/>
        </w:rPr>
        <w:t>as long as</w:t>
      </w:r>
      <w:proofErr w:type="gramEnd"/>
      <w:r w:rsidR="002D2D83">
        <w:rPr>
          <w:rFonts w:ascii="Barlow" w:hAnsi="Barlow"/>
          <w:sz w:val="20"/>
          <w:szCs w:val="20"/>
          <w:lang w:val="en-GB"/>
        </w:rPr>
        <w:t xml:space="preserve"> they work on the project.</w:t>
      </w:r>
    </w:p>
    <w:p w14:paraId="6ECAE171" w14:textId="31C4D93B" w:rsidR="00DB7566" w:rsidRPr="006F433B" w:rsidRDefault="00DB7566" w:rsidP="00D77CEA">
      <w:pPr>
        <w:numPr>
          <w:ilvl w:val="0"/>
          <w:numId w:val="10"/>
        </w:numPr>
        <w:spacing w:before="120" w:after="120" w:line="280" w:lineRule="atLeast"/>
        <w:ind w:left="1060" w:hanging="357"/>
        <w:jc w:val="both"/>
        <w:rPr>
          <w:rFonts w:ascii="Barlow" w:hAnsi="Barlow"/>
          <w:sz w:val="20"/>
          <w:szCs w:val="20"/>
          <w:u w:val="single"/>
          <w:lang w:val="en-GB"/>
        </w:rPr>
      </w:pPr>
      <w:proofErr w:type="gramStart"/>
      <w:r w:rsidRPr="002E7684">
        <w:rPr>
          <w:rFonts w:ascii="Barlow" w:hAnsi="Barlow"/>
          <w:b/>
          <w:bCs/>
          <w:sz w:val="20"/>
          <w:szCs w:val="20"/>
          <w:u w:val="single"/>
          <w:lang w:val="en-GB"/>
        </w:rPr>
        <w:t>Duration</w:t>
      </w:r>
      <w:r w:rsidR="006F433B" w:rsidRPr="002E7684">
        <w:rPr>
          <w:rFonts w:ascii="Barlow" w:hAnsi="Barlow"/>
          <w:b/>
          <w:bCs/>
          <w:sz w:val="20"/>
          <w:szCs w:val="20"/>
          <w:u w:val="single"/>
          <w:lang w:val="en-GB"/>
        </w:rPr>
        <w:t xml:space="preserve"> </w:t>
      </w:r>
      <w:r w:rsidR="006F433B" w:rsidRPr="002E7684">
        <w:rPr>
          <w:rFonts w:ascii="Barlow" w:hAnsi="Barlow"/>
          <w:b/>
          <w:bCs/>
          <w:sz w:val="20"/>
          <w:szCs w:val="20"/>
          <w:lang w:val="en-GB"/>
        </w:rPr>
        <w:t>:</w:t>
      </w:r>
      <w:proofErr w:type="gramEnd"/>
      <w:r w:rsidR="006F433B" w:rsidRPr="006F433B">
        <w:rPr>
          <w:rFonts w:ascii="Barlow" w:hAnsi="Barlow"/>
          <w:sz w:val="20"/>
          <w:szCs w:val="20"/>
          <w:lang w:val="en-GB"/>
        </w:rPr>
        <w:t xml:space="preserve"> </w:t>
      </w:r>
      <w:r w:rsidR="00A1237F">
        <w:rPr>
          <w:rFonts w:ascii="Barlow" w:hAnsi="Barlow"/>
          <w:sz w:val="20"/>
          <w:szCs w:val="20"/>
          <w:lang w:val="en-GB"/>
        </w:rPr>
        <w:t>31</w:t>
      </w:r>
      <w:r w:rsidRPr="006F433B">
        <w:rPr>
          <w:rFonts w:ascii="Barlow" w:hAnsi="Barlow"/>
          <w:sz w:val="20"/>
          <w:szCs w:val="20"/>
          <w:lang w:val="en-GB"/>
        </w:rPr>
        <w:t xml:space="preserve"> months</w:t>
      </w:r>
      <w:r w:rsidR="006F433B" w:rsidRPr="006F433B">
        <w:rPr>
          <w:rFonts w:ascii="Barlow" w:hAnsi="Barlow"/>
          <w:sz w:val="20"/>
          <w:szCs w:val="20"/>
          <w:lang w:val="en-GB"/>
        </w:rPr>
        <w:t xml:space="preserve"> </w:t>
      </w:r>
      <w:r w:rsidR="00630D4B">
        <w:rPr>
          <w:rFonts w:ascii="Barlow" w:hAnsi="Barlow"/>
          <w:sz w:val="20"/>
          <w:szCs w:val="20"/>
          <w:lang w:val="en-GB"/>
        </w:rPr>
        <w:t xml:space="preserve">– starting now </w:t>
      </w:r>
      <w:r w:rsidR="006F433B" w:rsidRPr="006F433B">
        <w:rPr>
          <w:rFonts w:ascii="Barlow" w:hAnsi="Barlow"/>
          <w:sz w:val="20"/>
          <w:szCs w:val="20"/>
          <w:lang w:val="en-GB"/>
        </w:rPr>
        <w:t>&gt; December 2025</w:t>
      </w:r>
    </w:p>
    <w:p w14:paraId="096AFBB7" w14:textId="491387AE" w:rsidR="00167C82" w:rsidRPr="002E7684" w:rsidRDefault="006F433B" w:rsidP="00D77CEA">
      <w:pPr>
        <w:numPr>
          <w:ilvl w:val="0"/>
          <w:numId w:val="10"/>
        </w:numPr>
        <w:spacing w:before="120" w:after="120" w:line="280" w:lineRule="atLeast"/>
        <w:ind w:left="1060" w:hanging="357"/>
        <w:jc w:val="both"/>
        <w:rPr>
          <w:rFonts w:ascii="Barlow" w:hAnsi="Barlow"/>
          <w:b/>
          <w:bCs/>
          <w:sz w:val="20"/>
          <w:szCs w:val="20"/>
          <w:u w:val="single"/>
          <w:lang w:val="en-GB"/>
        </w:rPr>
      </w:pPr>
      <w:r w:rsidRPr="002E7684">
        <w:rPr>
          <w:rFonts w:ascii="Barlow" w:hAnsi="Barlow"/>
          <w:b/>
          <w:bCs/>
          <w:sz w:val="20"/>
          <w:szCs w:val="20"/>
          <w:u w:val="single"/>
          <w:lang w:val="en-GB"/>
        </w:rPr>
        <w:t>Timeline</w:t>
      </w:r>
      <w:r w:rsidR="00630D4B" w:rsidRPr="002E7684">
        <w:rPr>
          <w:rFonts w:ascii="Barlow" w:hAnsi="Barlow"/>
          <w:b/>
          <w:bCs/>
          <w:sz w:val="20"/>
          <w:szCs w:val="20"/>
          <w:u w:val="single"/>
          <w:lang w:val="en-GB"/>
        </w:rPr>
        <w:t>:</w:t>
      </w:r>
    </w:p>
    <w:p w14:paraId="684740DE" w14:textId="77777777" w:rsidR="00D77CEA" w:rsidRPr="00743AF8" w:rsidRDefault="006F433B" w:rsidP="00D77CEA">
      <w:pPr>
        <w:spacing w:before="120" w:after="120" w:line="280" w:lineRule="atLeast"/>
        <w:contextualSpacing/>
        <w:jc w:val="both"/>
        <w:rPr>
          <w:rFonts w:ascii="Barlow" w:hAnsi="Barlow"/>
          <w:sz w:val="20"/>
          <w:szCs w:val="20"/>
          <w:u w:val="single"/>
          <w:lang w:val="en-GB"/>
        </w:rPr>
      </w:pPr>
      <w:r>
        <w:rPr>
          <w:rFonts w:ascii="Barlow" w:hAnsi="Barlow"/>
          <w:noProof/>
          <w:sz w:val="20"/>
          <w:szCs w:val="20"/>
          <w:u w:val="single"/>
          <w:lang w:val="en-GB"/>
        </w:rPr>
        <w:drawing>
          <wp:inline distT="0" distB="0" distL="0" distR="0" wp14:anchorId="1131A8CC" wp14:editId="39254844">
            <wp:extent cx="5760720" cy="269494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3-02-10 à 14.27.33.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694940"/>
                    </a:xfrm>
                    <a:prstGeom prst="rect">
                      <a:avLst/>
                    </a:prstGeom>
                  </pic:spPr>
                </pic:pic>
              </a:graphicData>
            </a:graphic>
          </wp:inline>
        </w:drawing>
      </w:r>
    </w:p>
    <w:sectPr w:rsidR="00D77CEA" w:rsidRPr="00743AF8">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9FF4" w14:textId="77777777" w:rsidR="00163EF4" w:rsidRDefault="00163EF4" w:rsidP="00630D4B">
      <w:r>
        <w:separator/>
      </w:r>
    </w:p>
  </w:endnote>
  <w:endnote w:type="continuationSeparator" w:id="0">
    <w:p w14:paraId="1B977E4A" w14:textId="77777777" w:rsidR="00163EF4" w:rsidRDefault="00163EF4" w:rsidP="00630D4B">
      <w:r>
        <w:continuationSeparator/>
      </w:r>
    </w:p>
  </w:endnote>
  <w:endnote w:type="continuationNotice" w:id="1">
    <w:p w14:paraId="0242221A" w14:textId="77777777" w:rsidR="00163EF4" w:rsidRDefault="00163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rlow">
    <w:altName w:val="Barlow"/>
    <w:charset w:val="4D"/>
    <w:family w:val="auto"/>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SemiBold">
    <w:altName w:val="Calibri"/>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C220" w14:textId="4C5CDD4B" w:rsidR="00630D4B" w:rsidRDefault="00630D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5990CBC9" w14:textId="77777777" w:rsidR="00630D4B" w:rsidRDefault="00630D4B" w:rsidP="00630D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7506400"/>
      <w:docPartObj>
        <w:docPartGallery w:val="Page Numbers (Bottom of Page)"/>
        <w:docPartUnique/>
      </w:docPartObj>
    </w:sdtPr>
    <w:sdtEndPr>
      <w:rPr>
        <w:rStyle w:val="Numrodepage"/>
        <w:rFonts w:ascii="Barlow SemiBold" w:hAnsi="Barlow SemiBold"/>
        <w:b/>
        <w:bCs/>
        <w:sz w:val="16"/>
        <w:szCs w:val="16"/>
      </w:rPr>
    </w:sdtEndPr>
    <w:sdtContent>
      <w:p w14:paraId="0B6D3D06" w14:textId="7AC546AF" w:rsidR="00630D4B" w:rsidRPr="00630D4B" w:rsidRDefault="00630D4B">
        <w:pPr>
          <w:pStyle w:val="Pieddepage"/>
          <w:framePr w:wrap="none" w:vAnchor="text" w:hAnchor="margin" w:xAlign="right" w:y="1"/>
          <w:rPr>
            <w:rStyle w:val="Numrodepage"/>
            <w:rFonts w:ascii="Barlow SemiBold" w:hAnsi="Barlow SemiBold"/>
            <w:b/>
            <w:bCs/>
            <w:sz w:val="16"/>
            <w:szCs w:val="16"/>
          </w:rPr>
        </w:pPr>
        <w:r w:rsidRPr="00630D4B">
          <w:rPr>
            <w:rStyle w:val="Numrodepage"/>
            <w:rFonts w:ascii="Barlow SemiBold" w:hAnsi="Barlow SemiBold"/>
            <w:b/>
            <w:bCs/>
            <w:sz w:val="16"/>
            <w:szCs w:val="16"/>
          </w:rPr>
          <w:fldChar w:fldCharType="begin"/>
        </w:r>
        <w:r w:rsidRPr="00630D4B">
          <w:rPr>
            <w:rStyle w:val="Numrodepage"/>
            <w:rFonts w:ascii="Barlow SemiBold" w:hAnsi="Barlow SemiBold"/>
            <w:b/>
            <w:bCs/>
            <w:sz w:val="16"/>
            <w:szCs w:val="16"/>
          </w:rPr>
          <w:instrText xml:space="preserve"> PAGE </w:instrText>
        </w:r>
        <w:r w:rsidRPr="00630D4B">
          <w:rPr>
            <w:rStyle w:val="Numrodepage"/>
            <w:rFonts w:ascii="Barlow SemiBold" w:hAnsi="Barlow SemiBold"/>
            <w:b/>
            <w:bCs/>
            <w:sz w:val="16"/>
            <w:szCs w:val="16"/>
          </w:rPr>
          <w:fldChar w:fldCharType="separate"/>
        </w:r>
        <w:r w:rsidRPr="00630D4B">
          <w:rPr>
            <w:rStyle w:val="Numrodepage"/>
            <w:rFonts w:ascii="Barlow SemiBold" w:hAnsi="Barlow SemiBold"/>
            <w:b/>
            <w:bCs/>
            <w:noProof/>
            <w:sz w:val="16"/>
            <w:szCs w:val="16"/>
          </w:rPr>
          <w:t>1</w:t>
        </w:r>
        <w:r w:rsidRPr="00630D4B">
          <w:rPr>
            <w:rStyle w:val="Numrodepage"/>
            <w:rFonts w:ascii="Barlow SemiBold" w:hAnsi="Barlow SemiBold"/>
            <w:b/>
            <w:bCs/>
            <w:sz w:val="16"/>
            <w:szCs w:val="16"/>
          </w:rPr>
          <w:fldChar w:fldCharType="end"/>
        </w:r>
      </w:p>
    </w:sdtContent>
  </w:sdt>
  <w:p w14:paraId="3DFC198E" w14:textId="1391013B" w:rsidR="00630D4B" w:rsidRPr="00087C61" w:rsidRDefault="00087C61" w:rsidP="00087C61">
    <w:pPr>
      <w:pStyle w:val="En-tte"/>
      <w:rPr>
        <w:rFonts w:ascii="Barlow" w:hAnsi="Barlow"/>
        <w:sz w:val="20"/>
        <w:szCs w:val="20"/>
        <w:lang w:val="en-US"/>
      </w:rPr>
    </w:pPr>
    <w:r w:rsidRPr="00087C61">
      <w:rPr>
        <w:rFonts w:ascii="Barlow" w:hAnsi="Barlow"/>
        <w:sz w:val="20"/>
        <w:szCs w:val="20"/>
        <w:lang w:val="en-US"/>
      </w:rPr>
      <w:t xml:space="preserve">URBACT IV - </w:t>
    </w:r>
    <w:proofErr w:type="spellStart"/>
    <w:r w:rsidRPr="00087C61">
      <w:rPr>
        <w:rFonts w:ascii="Barlow" w:hAnsi="Barlow"/>
        <w:sz w:val="20"/>
        <w:szCs w:val="20"/>
        <w:lang w:val="en-US"/>
      </w:rPr>
      <w:t>Cities@Heart</w:t>
    </w:r>
    <w:proofErr w:type="spellEnd"/>
    <w:r w:rsidRPr="00087C61">
      <w:rPr>
        <w:rFonts w:ascii="Barlow" w:hAnsi="Barlow"/>
        <w:sz w:val="20"/>
        <w:szCs w:val="20"/>
        <w:lang w:val="en-US"/>
      </w:rPr>
      <w:t xml:space="preserve"> - Lead </w:t>
    </w:r>
    <w:proofErr w:type="gramStart"/>
    <w:r w:rsidRPr="00087C61">
      <w:rPr>
        <w:rFonts w:ascii="Barlow" w:hAnsi="Barlow"/>
        <w:sz w:val="20"/>
        <w:szCs w:val="20"/>
        <w:lang w:val="en-US"/>
      </w:rPr>
      <w:t>Partner :</w:t>
    </w:r>
    <w:proofErr w:type="gramEnd"/>
    <w:r w:rsidRPr="00087C61">
      <w:rPr>
        <w:rFonts w:ascii="Barlow" w:hAnsi="Barlow"/>
        <w:sz w:val="20"/>
        <w:szCs w:val="20"/>
        <w:lang w:val="en-US"/>
      </w:rPr>
      <w:t xml:space="preserve"> Greater Paris Metropolis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8D83" w14:textId="77777777" w:rsidR="00163EF4" w:rsidRDefault="00163EF4" w:rsidP="00630D4B">
      <w:r>
        <w:separator/>
      </w:r>
    </w:p>
  </w:footnote>
  <w:footnote w:type="continuationSeparator" w:id="0">
    <w:p w14:paraId="6470DD41" w14:textId="77777777" w:rsidR="00163EF4" w:rsidRDefault="00163EF4" w:rsidP="00630D4B">
      <w:r>
        <w:continuationSeparator/>
      </w:r>
    </w:p>
  </w:footnote>
  <w:footnote w:type="continuationNotice" w:id="1">
    <w:p w14:paraId="624993DE" w14:textId="77777777" w:rsidR="00163EF4" w:rsidRDefault="00163E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4514"/>
    <w:multiLevelType w:val="hybridMultilevel"/>
    <w:tmpl w:val="40DA51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CB2C18"/>
    <w:multiLevelType w:val="hybridMultilevel"/>
    <w:tmpl w:val="4624269E"/>
    <w:lvl w:ilvl="0" w:tplc="7854C3DA">
      <w:numFmt w:val="bullet"/>
      <w:lvlText w:val=""/>
      <w:lvlJc w:val="left"/>
      <w:pPr>
        <w:ind w:left="720" w:hanging="360"/>
      </w:pPr>
      <w:rPr>
        <w:rFonts w:ascii="Symbol" w:eastAsia="MS Mincho" w:hAnsi="Symbol" w:cs="Helvetica" w:hint="default"/>
      </w:rPr>
    </w:lvl>
    <w:lvl w:ilvl="1" w:tplc="C2E2FB3E">
      <w:start w:val="1"/>
      <w:numFmt w:val="decimal"/>
      <w:lvlText w:val="%2)"/>
      <w:lvlJc w:val="left"/>
      <w:pPr>
        <w:ind w:left="1440" w:hanging="360"/>
      </w:pPr>
      <w:rPr>
        <w:rFonts w:ascii="Barlow" w:eastAsia="MS Mincho" w:hAnsi="Barlow" w:cs="Times New Roman"/>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D8275C"/>
    <w:multiLevelType w:val="hybridMultilevel"/>
    <w:tmpl w:val="E4B69566"/>
    <w:lvl w:ilvl="0" w:tplc="19ECC3C0">
      <w:numFmt w:val="bullet"/>
      <w:lvlText w:val="-"/>
      <w:lvlJc w:val="left"/>
      <w:pPr>
        <w:tabs>
          <w:tab w:val="num" w:pos="720"/>
        </w:tabs>
        <w:ind w:left="720" w:hanging="360"/>
      </w:pPr>
      <w:rPr>
        <w:rFonts w:ascii="Verdana" w:eastAsia="MS Mincho" w:hAnsi="Verdan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971BD5"/>
    <w:multiLevelType w:val="hybridMultilevel"/>
    <w:tmpl w:val="B15A5580"/>
    <w:lvl w:ilvl="0" w:tplc="8222E514">
      <w:start w:val="1"/>
      <w:numFmt w:val="decimal"/>
      <w:lvlText w:val="%1)"/>
      <w:lvlJc w:val="left"/>
      <w:pPr>
        <w:ind w:left="1211"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F07EC4"/>
    <w:multiLevelType w:val="hybridMultilevel"/>
    <w:tmpl w:val="F30CC2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842D44"/>
    <w:multiLevelType w:val="hybridMultilevel"/>
    <w:tmpl w:val="9FD8C9C8"/>
    <w:lvl w:ilvl="0" w:tplc="7DBC2310">
      <w:numFmt w:val="bullet"/>
      <w:lvlText w:val="-"/>
      <w:lvlJc w:val="left"/>
      <w:pPr>
        <w:tabs>
          <w:tab w:val="num" w:pos="1065"/>
        </w:tabs>
        <w:ind w:left="1065" w:hanging="360"/>
      </w:pPr>
      <w:rPr>
        <w:rFonts w:ascii="Verdana" w:eastAsia="MS Mincho" w:hAnsi="Verdana" w:cs="Helvetica"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5CAE41D4"/>
    <w:multiLevelType w:val="hybridMultilevel"/>
    <w:tmpl w:val="3796E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52699C"/>
    <w:multiLevelType w:val="hybridMultilevel"/>
    <w:tmpl w:val="F58CAB98"/>
    <w:lvl w:ilvl="0" w:tplc="C53AFAAA">
      <w:start w:val="1"/>
      <w:numFmt w:val="decimal"/>
      <w:lvlText w:val="%1)"/>
      <w:lvlJc w:val="left"/>
      <w:pPr>
        <w:tabs>
          <w:tab w:val="num" w:pos="1065"/>
        </w:tabs>
        <w:ind w:left="1065" w:hanging="360"/>
      </w:pPr>
      <w:rPr>
        <w:rFonts w:hint="default"/>
        <w:u w:val="single"/>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 w15:restartNumberingAfterBreak="0">
    <w:nsid w:val="6E533DB5"/>
    <w:multiLevelType w:val="hybridMultilevel"/>
    <w:tmpl w:val="0B26F966"/>
    <w:lvl w:ilvl="0" w:tplc="7854C3DA">
      <w:numFmt w:val="bullet"/>
      <w:lvlText w:val=""/>
      <w:lvlJc w:val="left"/>
      <w:pPr>
        <w:ind w:left="720" w:hanging="360"/>
      </w:pPr>
      <w:rPr>
        <w:rFonts w:ascii="Symbol" w:eastAsia="MS Mincho"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877770"/>
    <w:multiLevelType w:val="hybridMultilevel"/>
    <w:tmpl w:val="AF140DDE"/>
    <w:lvl w:ilvl="0" w:tplc="040C000F">
      <w:start w:val="1"/>
      <w:numFmt w:val="decimal"/>
      <w:lvlText w:val="%1."/>
      <w:lvlJc w:val="left"/>
      <w:pPr>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53354268">
    <w:abstractNumId w:val="7"/>
  </w:num>
  <w:num w:numId="2" w16cid:durableId="1804543277">
    <w:abstractNumId w:val="5"/>
  </w:num>
  <w:num w:numId="3" w16cid:durableId="1357804807">
    <w:abstractNumId w:val="2"/>
  </w:num>
  <w:num w:numId="4" w16cid:durableId="979530973">
    <w:abstractNumId w:val="6"/>
  </w:num>
  <w:num w:numId="5" w16cid:durableId="1452433114">
    <w:abstractNumId w:val="0"/>
  </w:num>
  <w:num w:numId="6" w16cid:durableId="681250094">
    <w:abstractNumId w:val="9"/>
  </w:num>
  <w:num w:numId="7" w16cid:durableId="392437399">
    <w:abstractNumId w:val="8"/>
  </w:num>
  <w:num w:numId="8" w16cid:durableId="349455671">
    <w:abstractNumId w:val="1"/>
  </w:num>
  <w:num w:numId="9" w16cid:durableId="1238131950">
    <w:abstractNumId w:val="4"/>
  </w:num>
  <w:num w:numId="10" w16cid:durableId="1850830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BD"/>
    <w:rsid w:val="000003BA"/>
    <w:rsid w:val="00011E69"/>
    <w:rsid w:val="000366FE"/>
    <w:rsid w:val="00047B5E"/>
    <w:rsid w:val="00050BAF"/>
    <w:rsid w:val="00050D6A"/>
    <w:rsid w:val="00052FE3"/>
    <w:rsid w:val="0007485D"/>
    <w:rsid w:val="000751D1"/>
    <w:rsid w:val="0008001F"/>
    <w:rsid w:val="00087C61"/>
    <w:rsid w:val="00094ADE"/>
    <w:rsid w:val="000A274D"/>
    <w:rsid w:val="000A309E"/>
    <w:rsid w:val="000B769A"/>
    <w:rsid w:val="000C2BD7"/>
    <w:rsid w:val="000D46F2"/>
    <w:rsid w:val="000F0B76"/>
    <w:rsid w:val="000F1A9F"/>
    <w:rsid w:val="00102C51"/>
    <w:rsid w:val="00110F0D"/>
    <w:rsid w:val="00110F2A"/>
    <w:rsid w:val="001266A0"/>
    <w:rsid w:val="001274B0"/>
    <w:rsid w:val="0014760A"/>
    <w:rsid w:val="0015606E"/>
    <w:rsid w:val="00162AC7"/>
    <w:rsid w:val="00163EF4"/>
    <w:rsid w:val="0016538A"/>
    <w:rsid w:val="00167C82"/>
    <w:rsid w:val="001716DB"/>
    <w:rsid w:val="00182FDB"/>
    <w:rsid w:val="001B07A5"/>
    <w:rsid w:val="001C5577"/>
    <w:rsid w:val="001D0D50"/>
    <w:rsid w:val="001D6250"/>
    <w:rsid w:val="002159F7"/>
    <w:rsid w:val="00251CC4"/>
    <w:rsid w:val="00257836"/>
    <w:rsid w:val="00262814"/>
    <w:rsid w:val="0027553A"/>
    <w:rsid w:val="002803BD"/>
    <w:rsid w:val="002B2F37"/>
    <w:rsid w:val="002B3919"/>
    <w:rsid w:val="002C54A5"/>
    <w:rsid w:val="002C7527"/>
    <w:rsid w:val="002D2D83"/>
    <w:rsid w:val="002D7DD9"/>
    <w:rsid w:val="002E7684"/>
    <w:rsid w:val="00312FEA"/>
    <w:rsid w:val="003142A0"/>
    <w:rsid w:val="0033558F"/>
    <w:rsid w:val="00335BE5"/>
    <w:rsid w:val="00341B57"/>
    <w:rsid w:val="00346C7E"/>
    <w:rsid w:val="00351B04"/>
    <w:rsid w:val="0035431F"/>
    <w:rsid w:val="00371ECC"/>
    <w:rsid w:val="003761DB"/>
    <w:rsid w:val="00380C92"/>
    <w:rsid w:val="00380D74"/>
    <w:rsid w:val="0038264C"/>
    <w:rsid w:val="00383702"/>
    <w:rsid w:val="003B1CBA"/>
    <w:rsid w:val="003B31E7"/>
    <w:rsid w:val="003B3323"/>
    <w:rsid w:val="003D5239"/>
    <w:rsid w:val="003D57C0"/>
    <w:rsid w:val="003F5EB4"/>
    <w:rsid w:val="00400DD6"/>
    <w:rsid w:val="0040462E"/>
    <w:rsid w:val="00406556"/>
    <w:rsid w:val="004129D2"/>
    <w:rsid w:val="00422C36"/>
    <w:rsid w:val="004469D7"/>
    <w:rsid w:val="00447A5B"/>
    <w:rsid w:val="00462BF2"/>
    <w:rsid w:val="00482A1F"/>
    <w:rsid w:val="004873A5"/>
    <w:rsid w:val="00497D3D"/>
    <w:rsid w:val="004A6460"/>
    <w:rsid w:val="004B0C64"/>
    <w:rsid w:val="004B77B1"/>
    <w:rsid w:val="004C28EF"/>
    <w:rsid w:val="004C2962"/>
    <w:rsid w:val="004C3A38"/>
    <w:rsid w:val="004C5E87"/>
    <w:rsid w:val="004D33A5"/>
    <w:rsid w:val="004E0ED1"/>
    <w:rsid w:val="004E6EB9"/>
    <w:rsid w:val="00500193"/>
    <w:rsid w:val="00506522"/>
    <w:rsid w:val="00512B26"/>
    <w:rsid w:val="0053216F"/>
    <w:rsid w:val="0053387D"/>
    <w:rsid w:val="00534BE6"/>
    <w:rsid w:val="005400CA"/>
    <w:rsid w:val="0054023F"/>
    <w:rsid w:val="00547ECA"/>
    <w:rsid w:val="00556C43"/>
    <w:rsid w:val="00565C9A"/>
    <w:rsid w:val="00577922"/>
    <w:rsid w:val="005B048F"/>
    <w:rsid w:val="005B123D"/>
    <w:rsid w:val="0060640F"/>
    <w:rsid w:val="00611194"/>
    <w:rsid w:val="00620183"/>
    <w:rsid w:val="00630B37"/>
    <w:rsid w:val="00630D4B"/>
    <w:rsid w:val="00661746"/>
    <w:rsid w:val="00664D3D"/>
    <w:rsid w:val="00673C7D"/>
    <w:rsid w:val="006815B5"/>
    <w:rsid w:val="00686428"/>
    <w:rsid w:val="00690827"/>
    <w:rsid w:val="00690E27"/>
    <w:rsid w:val="00693BCB"/>
    <w:rsid w:val="00697CFC"/>
    <w:rsid w:val="006F433B"/>
    <w:rsid w:val="00703E8B"/>
    <w:rsid w:val="0070433A"/>
    <w:rsid w:val="00705389"/>
    <w:rsid w:val="00705B30"/>
    <w:rsid w:val="00705FCD"/>
    <w:rsid w:val="00710120"/>
    <w:rsid w:val="0071375B"/>
    <w:rsid w:val="00717478"/>
    <w:rsid w:val="0072575E"/>
    <w:rsid w:val="00743AF8"/>
    <w:rsid w:val="007575B7"/>
    <w:rsid w:val="00773F4B"/>
    <w:rsid w:val="007808CE"/>
    <w:rsid w:val="0078659F"/>
    <w:rsid w:val="00793FB3"/>
    <w:rsid w:val="00794D6E"/>
    <w:rsid w:val="00794E2F"/>
    <w:rsid w:val="00795F51"/>
    <w:rsid w:val="007B353C"/>
    <w:rsid w:val="007B729C"/>
    <w:rsid w:val="007C2E07"/>
    <w:rsid w:val="007C46BF"/>
    <w:rsid w:val="007C79BE"/>
    <w:rsid w:val="007D1278"/>
    <w:rsid w:val="007D635D"/>
    <w:rsid w:val="007F105D"/>
    <w:rsid w:val="008003AC"/>
    <w:rsid w:val="00807BF7"/>
    <w:rsid w:val="008324E8"/>
    <w:rsid w:val="00835C67"/>
    <w:rsid w:val="008406E6"/>
    <w:rsid w:val="00845648"/>
    <w:rsid w:val="0084775D"/>
    <w:rsid w:val="008508CC"/>
    <w:rsid w:val="00853DA6"/>
    <w:rsid w:val="00857BA0"/>
    <w:rsid w:val="00860183"/>
    <w:rsid w:val="00867C08"/>
    <w:rsid w:val="00873BC9"/>
    <w:rsid w:val="00897D84"/>
    <w:rsid w:val="008B5F93"/>
    <w:rsid w:val="008C75D7"/>
    <w:rsid w:val="008D1072"/>
    <w:rsid w:val="008D13F2"/>
    <w:rsid w:val="008E14C9"/>
    <w:rsid w:val="008E3A7B"/>
    <w:rsid w:val="008F2F03"/>
    <w:rsid w:val="008F7A17"/>
    <w:rsid w:val="00901B25"/>
    <w:rsid w:val="00903CE6"/>
    <w:rsid w:val="00920A1F"/>
    <w:rsid w:val="009306E5"/>
    <w:rsid w:val="009310A1"/>
    <w:rsid w:val="00946500"/>
    <w:rsid w:val="00954BF4"/>
    <w:rsid w:val="009557BB"/>
    <w:rsid w:val="009626AE"/>
    <w:rsid w:val="00965FF1"/>
    <w:rsid w:val="00966574"/>
    <w:rsid w:val="00982F77"/>
    <w:rsid w:val="009850BF"/>
    <w:rsid w:val="0099689C"/>
    <w:rsid w:val="009A28D9"/>
    <w:rsid w:val="009A3376"/>
    <w:rsid w:val="009B6784"/>
    <w:rsid w:val="009C0B17"/>
    <w:rsid w:val="009D64A3"/>
    <w:rsid w:val="009D6509"/>
    <w:rsid w:val="009E21D6"/>
    <w:rsid w:val="009E2C3D"/>
    <w:rsid w:val="009E6059"/>
    <w:rsid w:val="009F7B61"/>
    <w:rsid w:val="00A0692D"/>
    <w:rsid w:val="00A10594"/>
    <w:rsid w:val="00A11225"/>
    <w:rsid w:val="00A1237F"/>
    <w:rsid w:val="00A23947"/>
    <w:rsid w:val="00A2699D"/>
    <w:rsid w:val="00A57A2C"/>
    <w:rsid w:val="00A57F34"/>
    <w:rsid w:val="00A6300D"/>
    <w:rsid w:val="00A63356"/>
    <w:rsid w:val="00A734CA"/>
    <w:rsid w:val="00A91723"/>
    <w:rsid w:val="00AB643C"/>
    <w:rsid w:val="00AC2ED7"/>
    <w:rsid w:val="00AD7D97"/>
    <w:rsid w:val="00AF228D"/>
    <w:rsid w:val="00B074C0"/>
    <w:rsid w:val="00B10624"/>
    <w:rsid w:val="00B11A40"/>
    <w:rsid w:val="00B35C2E"/>
    <w:rsid w:val="00B502F0"/>
    <w:rsid w:val="00B510C3"/>
    <w:rsid w:val="00B52F4F"/>
    <w:rsid w:val="00B922E1"/>
    <w:rsid w:val="00B96298"/>
    <w:rsid w:val="00B970E2"/>
    <w:rsid w:val="00B97F6C"/>
    <w:rsid w:val="00BB0F63"/>
    <w:rsid w:val="00BC0FC8"/>
    <w:rsid w:val="00BC4EDB"/>
    <w:rsid w:val="00BD3E26"/>
    <w:rsid w:val="00BE60B4"/>
    <w:rsid w:val="00C033A3"/>
    <w:rsid w:val="00C34A03"/>
    <w:rsid w:val="00C715D5"/>
    <w:rsid w:val="00C8660C"/>
    <w:rsid w:val="00C93EB9"/>
    <w:rsid w:val="00CB1858"/>
    <w:rsid w:val="00CB658B"/>
    <w:rsid w:val="00CD640F"/>
    <w:rsid w:val="00CE31BB"/>
    <w:rsid w:val="00CF11F6"/>
    <w:rsid w:val="00D04912"/>
    <w:rsid w:val="00D16868"/>
    <w:rsid w:val="00D17D8E"/>
    <w:rsid w:val="00D23B9A"/>
    <w:rsid w:val="00D23E6D"/>
    <w:rsid w:val="00D33F3A"/>
    <w:rsid w:val="00D442B2"/>
    <w:rsid w:val="00D46852"/>
    <w:rsid w:val="00D500BC"/>
    <w:rsid w:val="00D71711"/>
    <w:rsid w:val="00D74740"/>
    <w:rsid w:val="00D77CEA"/>
    <w:rsid w:val="00DA680D"/>
    <w:rsid w:val="00DB178F"/>
    <w:rsid w:val="00DB6993"/>
    <w:rsid w:val="00DB7566"/>
    <w:rsid w:val="00DC5DC3"/>
    <w:rsid w:val="00DE3CD1"/>
    <w:rsid w:val="00DE6610"/>
    <w:rsid w:val="00DE79B4"/>
    <w:rsid w:val="00DF1526"/>
    <w:rsid w:val="00DF2A08"/>
    <w:rsid w:val="00E01FBD"/>
    <w:rsid w:val="00E02D52"/>
    <w:rsid w:val="00E43879"/>
    <w:rsid w:val="00E5139F"/>
    <w:rsid w:val="00E55771"/>
    <w:rsid w:val="00E5742E"/>
    <w:rsid w:val="00E6106B"/>
    <w:rsid w:val="00E71089"/>
    <w:rsid w:val="00E71D6F"/>
    <w:rsid w:val="00E837CE"/>
    <w:rsid w:val="00E92E23"/>
    <w:rsid w:val="00E9512D"/>
    <w:rsid w:val="00EA1A19"/>
    <w:rsid w:val="00EB505A"/>
    <w:rsid w:val="00EB5F7D"/>
    <w:rsid w:val="00EC31BD"/>
    <w:rsid w:val="00EE31C6"/>
    <w:rsid w:val="00EF1F25"/>
    <w:rsid w:val="00F14A0B"/>
    <w:rsid w:val="00F35BFE"/>
    <w:rsid w:val="00F47C76"/>
    <w:rsid w:val="00F55FF3"/>
    <w:rsid w:val="00F61C92"/>
    <w:rsid w:val="00F632C7"/>
    <w:rsid w:val="00F70DC1"/>
    <w:rsid w:val="00F768F9"/>
    <w:rsid w:val="00F80F50"/>
    <w:rsid w:val="00F92C31"/>
    <w:rsid w:val="00FA762D"/>
    <w:rsid w:val="00FB7478"/>
    <w:rsid w:val="00FC36B3"/>
    <w:rsid w:val="00FD07FF"/>
    <w:rsid w:val="00FF00F5"/>
    <w:rsid w:val="2D3DF6D5"/>
    <w:rsid w:val="6240E42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D768"/>
  <w15:chartTrackingRefBased/>
  <w15:docId w15:val="{A926B077-5D23-4F7B-815E-E8B35E41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rsid w:val="00F80F50"/>
    <w:rPr>
      <w:sz w:val="16"/>
      <w:szCs w:val="16"/>
    </w:rPr>
  </w:style>
  <w:style w:type="paragraph" w:styleId="Commentaire">
    <w:name w:val="annotation text"/>
    <w:basedOn w:val="Normal"/>
    <w:link w:val="CommentaireCar"/>
    <w:rsid w:val="00F80F50"/>
    <w:rPr>
      <w:sz w:val="20"/>
      <w:szCs w:val="20"/>
    </w:rPr>
  </w:style>
  <w:style w:type="character" w:customStyle="1" w:styleId="CommentaireCar">
    <w:name w:val="Commentaire Car"/>
    <w:link w:val="Commentaire"/>
    <w:rsid w:val="00F80F50"/>
    <w:rPr>
      <w:lang w:val="fr-FR" w:eastAsia="ja-JP"/>
    </w:rPr>
  </w:style>
  <w:style w:type="paragraph" w:styleId="Objetducommentaire">
    <w:name w:val="annotation subject"/>
    <w:basedOn w:val="Commentaire"/>
    <w:next w:val="Commentaire"/>
    <w:link w:val="ObjetducommentaireCar"/>
    <w:rsid w:val="00F80F50"/>
    <w:rPr>
      <w:b/>
      <w:bCs/>
    </w:rPr>
  </w:style>
  <w:style w:type="character" w:customStyle="1" w:styleId="ObjetducommentaireCar">
    <w:name w:val="Objet du commentaire Car"/>
    <w:link w:val="Objetducommentaire"/>
    <w:rsid w:val="00F80F50"/>
    <w:rPr>
      <w:b/>
      <w:bCs/>
      <w:lang w:val="fr-FR" w:eastAsia="ja-JP"/>
    </w:rPr>
  </w:style>
  <w:style w:type="paragraph" w:styleId="Textedebulles">
    <w:name w:val="Balloon Text"/>
    <w:basedOn w:val="Normal"/>
    <w:link w:val="TextedebullesCar"/>
    <w:rsid w:val="00F80F50"/>
    <w:rPr>
      <w:rFonts w:ascii="Tahoma" w:hAnsi="Tahoma" w:cs="Tahoma"/>
      <w:sz w:val="16"/>
      <w:szCs w:val="16"/>
    </w:rPr>
  </w:style>
  <w:style w:type="character" w:customStyle="1" w:styleId="TextedebullesCar">
    <w:name w:val="Texte de bulles Car"/>
    <w:link w:val="Textedebulles"/>
    <w:rsid w:val="00F80F50"/>
    <w:rPr>
      <w:rFonts w:ascii="Tahoma" w:hAnsi="Tahoma" w:cs="Tahoma"/>
      <w:sz w:val="16"/>
      <w:szCs w:val="16"/>
      <w:lang w:val="fr-FR" w:eastAsia="ja-JP"/>
    </w:rPr>
  </w:style>
  <w:style w:type="paragraph" w:styleId="NormalWeb">
    <w:name w:val="Normal (Web)"/>
    <w:basedOn w:val="Normal"/>
    <w:uiPriority w:val="99"/>
    <w:unhideWhenUsed/>
    <w:rsid w:val="00966574"/>
    <w:pPr>
      <w:spacing w:before="100" w:beforeAutospacing="1" w:after="100" w:afterAutospacing="1"/>
    </w:pPr>
    <w:rPr>
      <w:rFonts w:eastAsia="Times New Roman"/>
      <w:lang w:val="fr-BE" w:eastAsia="fr-FR"/>
    </w:rPr>
  </w:style>
  <w:style w:type="table" w:styleId="Grilledutableau">
    <w:name w:val="Table Grid"/>
    <w:basedOn w:val="TableauNormal"/>
    <w:rsid w:val="006F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630D4B"/>
    <w:pPr>
      <w:tabs>
        <w:tab w:val="center" w:pos="4536"/>
        <w:tab w:val="right" w:pos="9072"/>
      </w:tabs>
    </w:pPr>
  </w:style>
  <w:style w:type="character" w:customStyle="1" w:styleId="PieddepageCar">
    <w:name w:val="Pied de page Car"/>
    <w:basedOn w:val="Policepardfaut"/>
    <w:link w:val="Pieddepage"/>
    <w:rsid w:val="00630D4B"/>
    <w:rPr>
      <w:sz w:val="24"/>
      <w:szCs w:val="24"/>
      <w:lang w:val="fr-FR" w:eastAsia="ja-JP"/>
    </w:rPr>
  </w:style>
  <w:style w:type="character" w:styleId="Numrodepage">
    <w:name w:val="page number"/>
    <w:basedOn w:val="Policepardfaut"/>
    <w:rsid w:val="00630D4B"/>
  </w:style>
  <w:style w:type="paragraph" w:styleId="En-tte">
    <w:name w:val="header"/>
    <w:basedOn w:val="Normal"/>
    <w:link w:val="En-tteCar"/>
    <w:uiPriority w:val="99"/>
    <w:rsid w:val="00630D4B"/>
    <w:pPr>
      <w:tabs>
        <w:tab w:val="center" w:pos="4536"/>
        <w:tab w:val="right" w:pos="9072"/>
      </w:tabs>
    </w:pPr>
  </w:style>
  <w:style w:type="character" w:customStyle="1" w:styleId="En-tteCar">
    <w:name w:val="En-tête Car"/>
    <w:basedOn w:val="Policepardfaut"/>
    <w:link w:val="En-tte"/>
    <w:uiPriority w:val="99"/>
    <w:rsid w:val="00630D4B"/>
    <w:rPr>
      <w:sz w:val="24"/>
      <w:szCs w:val="24"/>
      <w:lang w:val="fr-FR" w:eastAsia="ja-JP"/>
    </w:rPr>
  </w:style>
  <w:style w:type="paragraph" w:styleId="Rvision">
    <w:name w:val="Revision"/>
    <w:hidden/>
    <w:uiPriority w:val="99"/>
    <w:semiHidden/>
    <w:rsid w:val="00CB658B"/>
    <w:rPr>
      <w:sz w:val="24"/>
      <w:szCs w:val="24"/>
      <w:lang w:val="fr-FR" w:eastAsia="ja-JP"/>
    </w:rPr>
  </w:style>
  <w:style w:type="paragraph" w:styleId="Paragraphedeliste">
    <w:name w:val="List Paragraph"/>
    <w:basedOn w:val="Normal"/>
    <w:uiPriority w:val="34"/>
    <w:qFormat/>
    <w:rsid w:val="004B77B1"/>
    <w:pPr>
      <w:ind w:left="720"/>
      <w:contextualSpacing/>
    </w:pPr>
  </w:style>
  <w:style w:type="character" w:styleId="Lienhypertexte">
    <w:name w:val="Hyperlink"/>
    <w:basedOn w:val="Policepardfaut"/>
    <w:rsid w:val="00C8660C"/>
    <w:rPr>
      <w:color w:val="0563C1" w:themeColor="hyperlink"/>
      <w:u w:val="single"/>
    </w:rPr>
  </w:style>
  <w:style w:type="character" w:styleId="Mentionnonrsolue">
    <w:name w:val="Unresolved Mention"/>
    <w:basedOn w:val="Policepardfaut"/>
    <w:uiPriority w:val="99"/>
    <w:semiHidden/>
    <w:unhideWhenUsed/>
    <w:rsid w:val="00C8660C"/>
    <w:rPr>
      <w:color w:val="605E5C"/>
      <w:shd w:val="clear" w:color="auto" w:fill="E1DFDD"/>
    </w:rPr>
  </w:style>
  <w:style w:type="character" w:styleId="Mention">
    <w:name w:val="Mention"/>
    <w:basedOn w:val="Policepardfaut"/>
    <w:uiPriority w:val="99"/>
    <w:unhideWhenUsed/>
    <w:rsid w:val="00A57F34"/>
    <w:rPr>
      <w:color w:val="2B579A"/>
      <w:shd w:val="clear" w:color="auto" w:fill="E1DFDD"/>
    </w:rPr>
  </w:style>
  <w:style w:type="character" w:styleId="Lienhypertextesuivivisit">
    <w:name w:val="FollowedHyperlink"/>
    <w:basedOn w:val="Policepardfaut"/>
    <w:rsid w:val="00EE31C6"/>
    <w:rPr>
      <w:color w:val="954F72" w:themeColor="followedHyperlink"/>
      <w:u w:val="single"/>
    </w:rPr>
  </w:style>
  <w:style w:type="character" w:customStyle="1" w:styleId="cf01">
    <w:name w:val="cf01"/>
    <w:basedOn w:val="Policepardfaut"/>
    <w:rsid w:val="00110F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98666">
      <w:bodyDiv w:val="1"/>
      <w:marLeft w:val="0"/>
      <w:marRight w:val="0"/>
      <w:marTop w:val="0"/>
      <w:marBottom w:val="0"/>
      <w:divBdr>
        <w:top w:val="none" w:sz="0" w:space="0" w:color="auto"/>
        <w:left w:val="none" w:sz="0" w:space="0" w:color="auto"/>
        <w:bottom w:val="none" w:sz="0" w:space="0" w:color="auto"/>
        <w:right w:val="none" w:sz="0" w:space="0" w:color="auto"/>
      </w:divBdr>
    </w:div>
    <w:div w:id="395973753">
      <w:bodyDiv w:val="1"/>
      <w:marLeft w:val="0"/>
      <w:marRight w:val="0"/>
      <w:marTop w:val="0"/>
      <w:marBottom w:val="0"/>
      <w:divBdr>
        <w:top w:val="none" w:sz="0" w:space="0" w:color="auto"/>
        <w:left w:val="none" w:sz="0" w:space="0" w:color="auto"/>
        <w:bottom w:val="none" w:sz="0" w:space="0" w:color="auto"/>
        <w:right w:val="none" w:sz="0" w:space="0" w:color="auto"/>
      </w:divBdr>
    </w:div>
    <w:div w:id="1157769178">
      <w:bodyDiv w:val="1"/>
      <w:marLeft w:val="0"/>
      <w:marRight w:val="0"/>
      <w:marTop w:val="0"/>
      <w:marBottom w:val="0"/>
      <w:divBdr>
        <w:top w:val="none" w:sz="0" w:space="0" w:color="auto"/>
        <w:left w:val="none" w:sz="0" w:space="0" w:color="auto"/>
        <w:bottom w:val="none" w:sz="0" w:space="0" w:color="auto"/>
        <w:right w:val="none" w:sz="0" w:space="0" w:color="auto"/>
      </w:divBdr>
      <w:divsChild>
        <w:div w:id="192769053">
          <w:marLeft w:val="0"/>
          <w:marRight w:val="0"/>
          <w:marTop w:val="0"/>
          <w:marBottom w:val="0"/>
          <w:divBdr>
            <w:top w:val="none" w:sz="0" w:space="0" w:color="auto"/>
            <w:left w:val="none" w:sz="0" w:space="0" w:color="auto"/>
            <w:bottom w:val="none" w:sz="0" w:space="0" w:color="auto"/>
            <w:right w:val="none" w:sz="0" w:space="0" w:color="auto"/>
          </w:divBdr>
          <w:divsChild>
            <w:div w:id="901982354">
              <w:marLeft w:val="0"/>
              <w:marRight w:val="0"/>
              <w:marTop w:val="0"/>
              <w:marBottom w:val="0"/>
              <w:divBdr>
                <w:top w:val="none" w:sz="0" w:space="0" w:color="auto"/>
                <w:left w:val="none" w:sz="0" w:space="0" w:color="auto"/>
                <w:bottom w:val="none" w:sz="0" w:space="0" w:color="auto"/>
                <w:right w:val="none" w:sz="0" w:space="0" w:color="auto"/>
              </w:divBdr>
              <w:divsChild>
                <w:div w:id="2241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48414">
      <w:bodyDiv w:val="1"/>
      <w:marLeft w:val="0"/>
      <w:marRight w:val="0"/>
      <w:marTop w:val="0"/>
      <w:marBottom w:val="0"/>
      <w:divBdr>
        <w:top w:val="none" w:sz="0" w:space="0" w:color="auto"/>
        <w:left w:val="none" w:sz="0" w:space="0" w:color="auto"/>
        <w:bottom w:val="none" w:sz="0" w:space="0" w:color="auto"/>
        <w:right w:val="none" w:sz="0" w:space="0" w:color="auto"/>
      </w:divBdr>
    </w:div>
    <w:div w:id="1921209372">
      <w:bodyDiv w:val="1"/>
      <w:marLeft w:val="0"/>
      <w:marRight w:val="0"/>
      <w:marTop w:val="0"/>
      <w:marBottom w:val="0"/>
      <w:divBdr>
        <w:top w:val="none" w:sz="0" w:space="0" w:color="auto"/>
        <w:left w:val="none" w:sz="0" w:space="0" w:color="auto"/>
        <w:bottom w:val="none" w:sz="0" w:space="0" w:color="auto"/>
        <w:right w:val="none" w:sz="0" w:space="0" w:color="auto"/>
      </w:divBdr>
    </w:div>
    <w:div w:id="19341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ropolegrandparis.fr/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cema-worldwide.com/quality-mark-tocema-worldwide-quality-mark.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my.marcin@metropolegrandparis.fr" TargetMode="External"/><Relationship Id="rId4" Type="http://schemas.openxmlformats.org/officeDocument/2006/relationships/settings" Target="settings.xml"/><Relationship Id="rId9" Type="http://schemas.openxmlformats.org/officeDocument/2006/relationships/hyperlink" Target="mailto:leonie.yang@metropolegrandpari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F7B4-BB8D-4C45-A4CD-0E7B8389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1716</Words>
  <Characters>9440</Characters>
  <Application>Microsoft Office Word</Application>
  <DocSecurity>0</DocSecurity>
  <Lines>78</Lines>
  <Paragraphs>22</Paragraphs>
  <ScaleCrop>false</ScaleCrop>
  <Company>AMCV</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TOCEMA Next Generation</dc:title>
  <dc:subject/>
  <dc:creator>Fabienne Debecker</dc:creator>
  <cp:keywords/>
  <cp:lastModifiedBy>Léonie Yang</cp:lastModifiedBy>
  <cp:revision>19</cp:revision>
  <dcterms:created xsi:type="dcterms:W3CDTF">2023-02-16T11:01:00Z</dcterms:created>
  <dcterms:modified xsi:type="dcterms:W3CDTF">2023-02-22T09:37:00Z</dcterms:modified>
</cp:coreProperties>
</file>