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C87A0" w14:textId="1DFF9FA8" w:rsidR="000B1B70" w:rsidRPr="003736E5" w:rsidRDefault="000B1B70" w:rsidP="004C61E5">
      <w:pPr>
        <w:spacing w:line="360" w:lineRule="auto"/>
        <w:jc w:val="both"/>
        <w:rPr>
          <w:rFonts w:cs="Arial"/>
          <w:szCs w:val="20"/>
          <w:lang w:eastAsia="sl-SI"/>
        </w:rPr>
      </w:pPr>
      <w:r w:rsidRPr="003736E5">
        <w:rPr>
          <w:rFonts w:cs="Arial"/>
          <w:color w:val="000000"/>
          <w:szCs w:val="20"/>
          <w:shd w:val="clear" w:color="auto" w:fill="FFFFFF"/>
        </w:rPr>
        <w:t xml:space="preserve">Na podlagi petega odstavka 11. člena Zakona o spodbujanju digitalne vključenosti (Uradni list RS, št. </w:t>
      </w:r>
      <w:r w:rsidR="00425125" w:rsidRPr="003736E5">
        <w:rPr>
          <w:rFonts w:cs="Arial"/>
          <w:color w:val="000000"/>
          <w:szCs w:val="20"/>
          <w:shd w:val="clear" w:color="auto" w:fill="FFFFFF"/>
        </w:rPr>
        <w:t xml:space="preserve">35/22 in 40/23) </w:t>
      </w:r>
      <w:r w:rsidRPr="003736E5">
        <w:rPr>
          <w:rFonts w:cs="Arial"/>
          <w:color w:val="000000"/>
          <w:szCs w:val="20"/>
          <w:shd w:val="clear" w:color="auto" w:fill="FFFFFF"/>
        </w:rPr>
        <w:t xml:space="preserve">Vlada Republike Slovenije </w:t>
      </w:r>
      <w:r w:rsidRPr="003736E5">
        <w:rPr>
          <w:rFonts w:cs="Arial"/>
          <w:szCs w:val="20"/>
          <w:lang w:eastAsia="sl-SI"/>
        </w:rPr>
        <w:t>izdaja</w:t>
      </w:r>
    </w:p>
    <w:p w14:paraId="5C4BD479" w14:textId="77777777" w:rsidR="000B1B70" w:rsidRPr="003736E5" w:rsidRDefault="000B1B70" w:rsidP="004C61E5">
      <w:pPr>
        <w:pStyle w:val="datumtevilka"/>
        <w:spacing w:line="360" w:lineRule="auto"/>
        <w:rPr>
          <w:rFonts w:cs="Arial"/>
          <w:iCs/>
        </w:rPr>
      </w:pPr>
    </w:p>
    <w:p w14:paraId="64230D82" w14:textId="77777777" w:rsidR="000B1B70" w:rsidRPr="003736E5" w:rsidRDefault="000B1B70" w:rsidP="004C61E5">
      <w:pPr>
        <w:pStyle w:val="datumtevilka"/>
        <w:spacing w:line="360" w:lineRule="auto"/>
        <w:rPr>
          <w:rFonts w:cs="Arial"/>
          <w:iCs/>
        </w:rPr>
      </w:pPr>
    </w:p>
    <w:p w14:paraId="2FCA0F1E" w14:textId="77777777" w:rsidR="000B1B70" w:rsidRPr="003736E5" w:rsidRDefault="000B1B70" w:rsidP="004C61E5">
      <w:pPr>
        <w:pStyle w:val="datumtevilka"/>
        <w:spacing w:line="360" w:lineRule="auto"/>
        <w:jc w:val="center"/>
        <w:rPr>
          <w:rFonts w:cs="Arial"/>
          <w:b/>
        </w:rPr>
      </w:pPr>
      <w:r w:rsidRPr="003736E5">
        <w:rPr>
          <w:rFonts w:cs="Arial"/>
          <w:b/>
        </w:rPr>
        <w:t>UREDBO</w:t>
      </w:r>
    </w:p>
    <w:p w14:paraId="75B2B209" w14:textId="729CAFB8" w:rsidR="000B1B70" w:rsidRPr="003736E5" w:rsidRDefault="000B1B70" w:rsidP="004C61E5">
      <w:pPr>
        <w:pStyle w:val="datumtevilka"/>
        <w:spacing w:line="360" w:lineRule="auto"/>
        <w:jc w:val="center"/>
        <w:rPr>
          <w:rFonts w:cs="Arial"/>
          <w:b/>
        </w:rPr>
      </w:pPr>
      <w:bookmarkStart w:id="0" w:name="_Hlk103166275"/>
      <w:r w:rsidRPr="003736E5">
        <w:rPr>
          <w:rFonts w:cs="Arial"/>
          <w:b/>
        </w:rPr>
        <w:t xml:space="preserve">o </w:t>
      </w:r>
      <w:bookmarkEnd w:id="0"/>
      <w:r w:rsidR="00425125" w:rsidRPr="003736E5">
        <w:rPr>
          <w:rFonts w:cs="Arial"/>
          <w:b/>
        </w:rPr>
        <w:t xml:space="preserve">podrobnejši vsebini </w:t>
      </w:r>
      <w:r w:rsidRPr="003736E5">
        <w:rPr>
          <w:rFonts w:cs="Arial"/>
          <w:b/>
        </w:rPr>
        <w:t>načrta spodbujanja digitalne vključenosti</w:t>
      </w:r>
    </w:p>
    <w:p w14:paraId="59F652B1" w14:textId="09B6789B" w:rsidR="00E649D5" w:rsidRPr="003736E5" w:rsidRDefault="00E649D5" w:rsidP="004C61E5">
      <w:pPr>
        <w:spacing w:line="360" w:lineRule="auto"/>
        <w:rPr>
          <w:rFonts w:cs="Arial"/>
          <w:szCs w:val="20"/>
        </w:rPr>
      </w:pPr>
    </w:p>
    <w:p w14:paraId="7F98E8B3" w14:textId="77777777" w:rsidR="000B1B70" w:rsidRPr="003736E5" w:rsidRDefault="000B1B70" w:rsidP="004C61E5">
      <w:pPr>
        <w:pStyle w:val="tevilkalena"/>
        <w:spacing w:after="0" w:line="360" w:lineRule="auto"/>
        <w:rPr>
          <w:rFonts w:cs="Arial"/>
        </w:rPr>
      </w:pPr>
    </w:p>
    <w:p w14:paraId="282410F8" w14:textId="77777777" w:rsidR="000B1B70" w:rsidRPr="003736E5" w:rsidRDefault="000B1B70" w:rsidP="004C61E5">
      <w:pPr>
        <w:pStyle w:val="naslovlena"/>
        <w:spacing w:after="0" w:line="360" w:lineRule="auto"/>
        <w:rPr>
          <w:rFonts w:cs="Arial"/>
        </w:rPr>
      </w:pPr>
      <w:r w:rsidRPr="003736E5">
        <w:rPr>
          <w:rFonts w:cs="Arial"/>
        </w:rPr>
        <w:t>(vsebina uredbe)</w:t>
      </w:r>
    </w:p>
    <w:p w14:paraId="0AABB55E" w14:textId="2A3C4F43" w:rsidR="000B1B70" w:rsidRPr="003736E5" w:rsidRDefault="000B1B70" w:rsidP="004C61E5">
      <w:pPr>
        <w:pStyle w:val="besedilolenabrezodstavkov"/>
        <w:spacing w:after="0" w:line="360" w:lineRule="auto"/>
        <w:rPr>
          <w:rFonts w:cs="Arial"/>
        </w:rPr>
      </w:pPr>
      <w:r w:rsidRPr="003736E5">
        <w:rPr>
          <w:rFonts w:cs="Arial"/>
        </w:rPr>
        <w:t>Ta uredba določa podrobnejšo vsebino načrta spodbujanja digitalne vključenosti</w:t>
      </w:r>
      <w:r w:rsidR="0025361A" w:rsidRPr="003736E5">
        <w:rPr>
          <w:rFonts w:cs="Arial"/>
        </w:rPr>
        <w:t xml:space="preserve"> (v nadaljnjem besedilu: načrt)</w:t>
      </w:r>
      <w:r w:rsidRPr="003736E5">
        <w:rPr>
          <w:rFonts w:cs="Arial"/>
        </w:rPr>
        <w:t>.</w:t>
      </w:r>
    </w:p>
    <w:p w14:paraId="367EF95C" w14:textId="77777777" w:rsidR="003736E5" w:rsidRPr="003736E5" w:rsidRDefault="003736E5" w:rsidP="003736E5">
      <w:pPr>
        <w:spacing w:line="360" w:lineRule="auto"/>
        <w:jc w:val="both"/>
        <w:rPr>
          <w:rFonts w:cs="Arial"/>
          <w:szCs w:val="20"/>
        </w:rPr>
      </w:pPr>
    </w:p>
    <w:p w14:paraId="335E18E4" w14:textId="2D2BC201" w:rsidR="006A68D3" w:rsidRPr="003736E5" w:rsidRDefault="0041080D" w:rsidP="004C61E5">
      <w:pPr>
        <w:pStyle w:val="naslovlena"/>
        <w:spacing w:after="0" w:line="360" w:lineRule="auto"/>
        <w:rPr>
          <w:rFonts w:cs="Arial"/>
        </w:rPr>
      </w:pPr>
      <w:r>
        <w:rPr>
          <w:rFonts w:cs="Arial"/>
        </w:rPr>
        <w:t>2</w:t>
      </w:r>
      <w:r w:rsidR="006A68D3" w:rsidRPr="003736E5">
        <w:rPr>
          <w:rFonts w:cs="Arial"/>
        </w:rPr>
        <w:t xml:space="preserve">. člen </w:t>
      </w:r>
    </w:p>
    <w:p w14:paraId="43BC6C36" w14:textId="39A216C1" w:rsidR="00176B39" w:rsidRPr="003736E5" w:rsidRDefault="00176B39" w:rsidP="004C61E5">
      <w:pPr>
        <w:spacing w:line="360" w:lineRule="auto"/>
        <w:jc w:val="center"/>
        <w:rPr>
          <w:rFonts w:cs="Arial"/>
          <w:szCs w:val="20"/>
        </w:rPr>
      </w:pPr>
      <w:r w:rsidRPr="003736E5">
        <w:rPr>
          <w:rFonts w:cs="Arial"/>
          <w:szCs w:val="20"/>
        </w:rPr>
        <w:t>(vsebina načrta)</w:t>
      </w:r>
    </w:p>
    <w:p w14:paraId="17B4E7EF" w14:textId="666D43AB" w:rsidR="00176B39" w:rsidRPr="003736E5" w:rsidRDefault="00176B39" w:rsidP="004C61E5">
      <w:pPr>
        <w:shd w:val="clear" w:color="auto" w:fill="FFFFFF"/>
        <w:spacing w:before="240" w:line="360" w:lineRule="auto"/>
        <w:jc w:val="both"/>
        <w:rPr>
          <w:rFonts w:cs="Arial"/>
          <w:color w:val="000000"/>
          <w:szCs w:val="20"/>
          <w:lang w:eastAsia="sl-SI"/>
        </w:rPr>
      </w:pPr>
      <w:r w:rsidRPr="003736E5">
        <w:rPr>
          <w:rFonts w:cs="Arial"/>
          <w:color w:val="000000"/>
          <w:szCs w:val="20"/>
          <w:lang w:val="x-none" w:eastAsia="sl-SI"/>
        </w:rPr>
        <w:t>Načrt mora vključevati naslednja poglavja:</w:t>
      </w:r>
    </w:p>
    <w:p w14:paraId="12326A22" w14:textId="5789024F" w:rsidR="00176B39" w:rsidRPr="003736E5" w:rsidRDefault="0025361A" w:rsidP="00672F6C">
      <w:pPr>
        <w:pStyle w:val="Odstavekseznama"/>
        <w:numPr>
          <w:ilvl w:val="0"/>
          <w:numId w:val="25"/>
        </w:numPr>
        <w:shd w:val="clear" w:color="auto" w:fill="FFFFFF"/>
        <w:spacing w:line="360" w:lineRule="auto"/>
        <w:jc w:val="both"/>
        <w:rPr>
          <w:rFonts w:ascii="Arial" w:hAnsi="Arial" w:cs="Arial"/>
          <w:color w:val="000000"/>
          <w:sz w:val="20"/>
          <w:szCs w:val="20"/>
          <w:lang w:eastAsia="sl-SI"/>
        </w:rPr>
      </w:pPr>
      <w:bookmarkStart w:id="1" w:name="_Hlk132968620"/>
      <w:r w:rsidRPr="003736E5">
        <w:rPr>
          <w:rFonts w:ascii="Arial" w:hAnsi="Arial" w:cs="Arial"/>
          <w:color w:val="000000"/>
          <w:sz w:val="20"/>
          <w:szCs w:val="20"/>
          <w:lang w:eastAsia="sl-SI"/>
        </w:rPr>
        <w:t>podlage za sprejem načrta,</w:t>
      </w:r>
    </w:p>
    <w:bookmarkEnd w:id="1"/>
    <w:p w14:paraId="450F1B1A" w14:textId="5991A423" w:rsidR="00176B39" w:rsidRPr="009A67C4" w:rsidRDefault="0025361A" w:rsidP="009A67C4">
      <w:pPr>
        <w:pStyle w:val="Odstavekseznama"/>
        <w:numPr>
          <w:ilvl w:val="0"/>
          <w:numId w:val="25"/>
        </w:numPr>
        <w:shd w:val="clear" w:color="auto" w:fill="FFFFFF"/>
        <w:spacing w:line="360" w:lineRule="auto"/>
        <w:jc w:val="both"/>
        <w:rPr>
          <w:rFonts w:ascii="Arial" w:hAnsi="Arial" w:cs="Arial"/>
          <w:color w:val="000000"/>
          <w:sz w:val="20"/>
          <w:szCs w:val="20"/>
          <w:lang w:eastAsia="sl-SI"/>
        </w:rPr>
      </w:pPr>
      <w:r w:rsidRPr="003736E5">
        <w:rPr>
          <w:rFonts w:ascii="Arial" w:hAnsi="Arial" w:cs="Arial"/>
          <w:color w:val="000000"/>
          <w:sz w:val="20"/>
          <w:szCs w:val="20"/>
          <w:lang w:eastAsia="sl-SI"/>
        </w:rPr>
        <w:t>ocen</w:t>
      </w:r>
      <w:r w:rsidR="003736E5">
        <w:rPr>
          <w:rFonts w:ascii="Arial" w:hAnsi="Arial" w:cs="Arial"/>
          <w:color w:val="000000"/>
          <w:sz w:val="20"/>
          <w:szCs w:val="20"/>
          <w:lang w:eastAsia="sl-SI"/>
        </w:rPr>
        <w:t>o</w:t>
      </w:r>
      <w:r w:rsidR="00176B39" w:rsidRPr="003736E5">
        <w:rPr>
          <w:rFonts w:ascii="Arial" w:hAnsi="Arial" w:cs="Arial"/>
          <w:color w:val="000000"/>
          <w:sz w:val="20"/>
          <w:szCs w:val="20"/>
          <w:lang w:val="x-none" w:eastAsia="sl-SI"/>
        </w:rPr>
        <w:t xml:space="preserve"> stanja na </w:t>
      </w:r>
      <w:r w:rsidR="00BE2052" w:rsidRPr="003736E5">
        <w:rPr>
          <w:rFonts w:ascii="Arial" w:hAnsi="Arial" w:cs="Arial"/>
          <w:color w:val="000000"/>
          <w:sz w:val="20"/>
          <w:szCs w:val="20"/>
          <w:lang w:eastAsia="sl-SI"/>
        </w:rPr>
        <w:t>področju digitalne vključenosti</w:t>
      </w:r>
      <w:r w:rsidRPr="003736E5">
        <w:rPr>
          <w:rFonts w:ascii="Arial" w:hAnsi="Arial" w:cs="Arial"/>
          <w:color w:val="000000"/>
          <w:sz w:val="20"/>
          <w:szCs w:val="20"/>
          <w:lang w:eastAsia="sl-SI"/>
        </w:rPr>
        <w:t>,</w:t>
      </w:r>
      <w:r w:rsidR="009A67C4">
        <w:rPr>
          <w:rFonts w:ascii="Arial" w:hAnsi="Arial" w:cs="Arial"/>
          <w:color w:val="000000"/>
          <w:sz w:val="20"/>
          <w:szCs w:val="20"/>
          <w:lang w:eastAsia="sl-SI"/>
        </w:rPr>
        <w:t xml:space="preserve"> vključno z </w:t>
      </w:r>
      <w:r w:rsidR="009A67C4" w:rsidRPr="003736E5">
        <w:rPr>
          <w:rFonts w:ascii="Arial" w:hAnsi="Arial" w:cs="Arial"/>
          <w:color w:val="000000"/>
          <w:sz w:val="20"/>
          <w:szCs w:val="20"/>
          <w:lang w:eastAsia="sl-SI"/>
        </w:rPr>
        <w:t>analiz</w:t>
      </w:r>
      <w:r w:rsidR="009A67C4">
        <w:rPr>
          <w:rFonts w:ascii="Arial" w:hAnsi="Arial" w:cs="Arial"/>
          <w:color w:val="000000"/>
          <w:sz w:val="20"/>
          <w:szCs w:val="20"/>
          <w:lang w:eastAsia="sl-SI"/>
        </w:rPr>
        <w:t>o</w:t>
      </w:r>
      <w:r w:rsidR="009A67C4" w:rsidRPr="003736E5">
        <w:rPr>
          <w:rFonts w:ascii="Arial" w:hAnsi="Arial" w:cs="Arial"/>
          <w:color w:val="000000"/>
          <w:sz w:val="20"/>
          <w:szCs w:val="20"/>
          <w:lang w:val="x-none" w:eastAsia="sl-SI"/>
        </w:rPr>
        <w:t xml:space="preserve"> o obstoju manj ugodnega položaja posamezne skupine na področju digitalne vključenosti</w:t>
      </w:r>
      <w:r w:rsidR="009A67C4" w:rsidRPr="003736E5">
        <w:rPr>
          <w:rFonts w:ascii="Arial" w:hAnsi="Arial" w:cs="Arial"/>
          <w:color w:val="000000"/>
          <w:sz w:val="20"/>
          <w:szCs w:val="20"/>
          <w:lang w:eastAsia="sl-SI"/>
        </w:rPr>
        <w:t>,</w:t>
      </w:r>
    </w:p>
    <w:p w14:paraId="4DCE212D" w14:textId="2B4C8606" w:rsidR="00672F6C" w:rsidRPr="003736E5" w:rsidRDefault="00672F6C" w:rsidP="00672F6C">
      <w:pPr>
        <w:pStyle w:val="Odstavekseznama"/>
        <w:numPr>
          <w:ilvl w:val="0"/>
          <w:numId w:val="25"/>
        </w:numPr>
        <w:shd w:val="clear" w:color="auto" w:fill="FFFFFF"/>
        <w:spacing w:line="360" w:lineRule="auto"/>
        <w:jc w:val="both"/>
        <w:rPr>
          <w:rFonts w:ascii="Arial" w:hAnsi="Arial" w:cs="Arial"/>
          <w:color w:val="000000"/>
          <w:sz w:val="20"/>
          <w:szCs w:val="20"/>
          <w:lang w:eastAsia="sl-SI"/>
        </w:rPr>
      </w:pPr>
      <w:r w:rsidRPr="003736E5">
        <w:rPr>
          <w:rFonts w:ascii="Arial" w:hAnsi="Arial" w:cs="Arial"/>
          <w:color w:val="000000"/>
          <w:sz w:val="20"/>
          <w:szCs w:val="20"/>
          <w:lang w:eastAsia="sl-SI"/>
        </w:rPr>
        <w:t>določitev ciljnih skupin, ki so jim namenjeni ukrepi spodbujanja digitalne vključenosti,</w:t>
      </w:r>
    </w:p>
    <w:p w14:paraId="4530F5CA" w14:textId="7329D914" w:rsidR="00176B39" w:rsidRPr="003736E5" w:rsidRDefault="0025361A" w:rsidP="00672F6C">
      <w:pPr>
        <w:pStyle w:val="Odstavekseznama"/>
        <w:numPr>
          <w:ilvl w:val="0"/>
          <w:numId w:val="25"/>
        </w:numPr>
        <w:shd w:val="clear" w:color="auto" w:fill="FFFFFF"/>
        <w:spacing w:line="360" w:lineRule="auto"/>
        <w:jc w:val="both"/>
        <w:rPr>
          <w:rFonts w:ascii="Arial" w:hAnsi="Arial" w:cs="Arial"/>
          <w:color w:val="000000"/>
          <w:sz w:val="20"/>
          <w:szCs w:val="20"/>
          <w:lang w:eastAsia="sl-SI"/>
        </w:rPr>
      </w:pPr>
      <w:bookmarkStart w:id="2" w:name="_Hlk132970598"/>
      <w:r w:rsidRPr="003736E5">
        <w:rPr>
          <w:rFonts w:ascii="Arial" w:hAnsi="Arial" w:cs="Arial"/>
          <w:color w:val="000000"/>
          <w:sz w:val="20"/>
          <w:szCs w:val="20"/>
          <w:lang w:eastAsia="sl-SI"/>
        </w:rPr>
        <w:t>d</w:t>
      </w:r>
      <w:r w:rsidR="006C2A19" w:rsidRPr="003736E5">
        <w:rPr>
          <w:rFonts w:ascii="Arial" w:hAnsi="Arial" w:cs="Arial"/>
          <w:color w:val="000000"/>
          <w:sz w:val="20"/>
          <w:szCs w:val="20"/>
          <w:lang w:eastAsia="sl-SI"/>
        </w:rPr>
        <w:t xml:space="preserve">oločitev ciljne ravni digitalnih kompetenc za določene ciljne skupine, </w:t>
      </w:r>
    </w:p>
    <w:p w14:paraId="0252319C" w14:textId="7C74FA08" w:rsidR="00176B39" w:rsidRPr="003736E5" w:rsidRDefault="0025361A" w:rsidP="00672F6C">
      <w:pPr>
        <w:pStyle w:val="Odstavekseznama"/>
        <w:numPr>
          <w:ilvl w:val="0"/>
          <w:numId w:val="25"/>
        </w:numPr>
        <w:shd w:val="clear" w:color="auto" w:fill="FFFFFF"/>
        <w:spacing w:line="360" w:lineRule="auto"/>
        <w:jc w:val="both"/>
        <w:rPr>
          <w:rFonts w:ascii="Arial" w:hAnsi="Arial" w:cs="Arial"/>
          <w:color w:val="000000"/>
          <w:sz w:val="20"/>
          <w:szCs w:val="20"/>
          <w:lang w:eastAsia="sl-SI"/>
        </w:rPr>
      </w:pPr>
      <w:r w:rsidRPr="003736E5">
        <w:rPr>
          <w:rFonts w:ascii="Arial" w:hAnsi="Arial" w:cs="Arial"/>
          <w:color w:val="000000"/>
          <w:sz w:val="20"/>
          <w:szCs w:val="20"/>
          <w:lang w:eastAsia="sl-SI"/>
        </w:rPr>
        <w:t>d</w:t>
      </w:r>
      <w:r w:rsidR="00B75725" w:rsidRPr="003736E5">
        <w:rPr>
          <w:rFonts w:ascii="Arial" w:hAnsi="Arial" w:cs="Arial"/>
          <w:color w:val="000000"/>
          <w:sz w:val="20"/>
          <w:szCs w:val="20"/>
          <w:lang w:eastAsia="sl-SI"/>
        </w:rPr>
        <w:t>oločitev in opi</w:t>
      </w:r>
      <w:r w:rsidR="006C2A19" w:rsidRPr="003736E5">
        <w:rPr>
          <w:rFonts w:ascii="Arial" w:hAnsi="Arial" w:cs="Arial"/>
          <w:color w:val="000000"/>
          <w:sz w:val="20"/>
          <w:szCs w:val="20"/>
          <w:lang w:eastAsia="sl-SI"/>
        </w:rPr>
        <w:t>s ukrepov spodbujanja digitalne vključenosti za vsako od določenih ciljnih skupin</w:t>
      </w:r>
      <w:r w:rsidRPr="003736E5">
        <w:rPr>
          <w:rFonts w:ascii="Arial" w:hAnsi="Arial" w:cs="Arial"/>
          <w:color w:val="000000"/>
          <w:sz w:val="20"/>
          <w:szCs w:val="20"/>
          <w:lang w:eastAsia="sl-SI"/>
        </w:rPr>
        <w:t>,</w:t>
      </w:r>
    </w:p>
    <w:p w14:paraId="2645DE61" w14:textId="382B9524" w:rsidR="00176B39" w:rsidRPr="003736E5" w:rsidRDefault="0025361A" w:rsidP="00672F6C">
      <w:pPr>
        <w:pStyle w:val="Odstavekseznama"/>
        <w:numPr>
          <w:ilvl w:val="0"/>
          <w:numId w:val="25"/>
        </w:numPr>
        <w:shd w:val="clear" w:color="auto" w:fill="FFFFFF"/>
        <w:spacing w:line="360" w:lineRule="auto"/>
        <w:jc w:val="both"/>
        <w:rPr>
          <w:rFonts w:ascii="Arial" w:hAnsi="Arial" w:cs="Arial"/>
          <w:color w:val="000000"/>
          <w:sz w:val="20"/>
          <w:szCs w:val="20"/>
          <w:lang w:eastAsia="sl-SI"/>
        </w:rPr>
      </w:pPr>
      <w:r w:rsidRPr="003736E5">
        <w:rPr>
          <w:rFonts w:ascii="Arial" w:hAnsi="Arial" w:cs="Arial"/>
          <w:color w:val="000000"/>
          <w:sz w:val="20"/>
          <w:szCs w:val="20"/>
          <w:lang w:eastAsia="sl-SI"/>
        </w:rPr>
        <w:t>o</w:t>
      </w:r>
      <w:r w:rsidR="006C2A19" w:rsidRPr="003736E5">
        <w:rPr>
          <w:rFonts w:ascii="Arial" w:hAnsi="Arial" w:cs="Arial"/>
          <w:color w:val="000000"/>
          <w:sz w:val="20"/>
          <w:szCs w:val="20"/>
          <w:lang w:eastAsia="sl-SI"/>
        </w:rPr>
        <w:t xml:space="preserve">predelitev </w:t>
      </w:r>
      <w:r w:rsidR="00C504D5" w:rsidRPr="003736E5">
        <w:rPr>
          <w:rFonts w:ascii="Arial" w:hAnsi="Arial" w:cs="Arial"/>
          <w:color w:val="000000"/>
          <w:sz w:val="20"/>
          <w:szCs w:val="20"/>
          <w:lang w:eastAsia="sl-SI"/>
        </w:rPr>
        <w:t>ocenjenih finančnih posledic</w:t>
      </w:r>
      <w:r w:rsidRPr="003736E5">
        <w:rPr>
          <w:rFonts w:ascii="Arial" w:hAnsi="Arial" w:cs="Arial"/>
          <w:color w:val="000000"/>
          <w:sz w:val="20"/>
          <w:szCs w:val="20"/>
          <w:lang w:eastAsia="sl-SI"/>
        </w:rPr>
        <w:t xml:space="preserve"> </w:t>
      </w:r>
      <w:r w:rsidR="006C2A19" w:rsidRPr="003736E5">
        <w:rPr>
          <w:rFonts w:ascii="Arial" w:hAnsi="Arial" w:cs="Arial"/>
          <w:color w:val="000000"/>
          <w:sz w:val="20"/>
          <w:szCs w:val="20"/>
          <w:lang w:eastAsia="sl-SI"/>
        </w:rPr>
        <w:t>ukrepov</w:t>
      </w:r>
      <w:r w:rsidRPr="003736E5">
        <w:rPr>
          <w:rFonts w:ascii="Arial" w:hAnsi="Arial" w:cs="Arial"/>
          <w:color w:val="000000"/>
          <w:sz w:val="20"/>
          <w:szCs w:val="20"/>
          <w:lang w:eastAsia="sl-SI"/>
        </w:rPr>
        <w:t xml:space="preserve"> za spodbujanje </w:t>
      </w:r>
      <w:r w:rsidR="00C504D5" w:rsidRPr="003736E5">
        <w:rPr>
          <w:rFonts w:ascii="Arial" w:hAnsi="Arial" w:cs="Arial"/>
          <w:color w:val="000000"/>
          <w:sz w:val="20"/>
          <w:szCs w:val="20"/>
          <w:lang w:eastAsia="sl-SI"/>
        </w:rPr>
        <w:t xml:space="preserve">digitalne vključenosti </w:t>
      </w:r>
      <w:r w:rsidRPr="003736E5">
        <w:rPr>
          <w:rFonts w:ascii="Arial" w:hAnsi="Arial" w:cs="Arial"/>
          <w:color w:val="000000"/>
          <w:sz w:val="20"/>
          <w:szCs w:val="20"/>
          <w:lang w:eastAsia="sl-SI"/>
        </w:rPr>
        <w:t>in</w:t>
      </w:r>
    </w:p>
    <w:p w14:paraId="5D3AA063" w14:textId="3FC16591" w:rsidR="004C61E5" w:rsidRPr="003736E5" w:rsidRDefault="0025361A" w:rsidP="00672F6C">
      <w:pPr>
        <w:pStyle w:val="Odstavekseznama"/>
        <w:numPr>
          <w:ilvl w:val="0"/>
          <w:numId w:val="25"/>
        </w:numPr>
        <w:shd w:val="clear" w:color="auto" w:fill="FFFFFF"/>
        <w:spacing w:line="360" w:lineRule="auto"/>
        <w:jc w:val="both"/>
        <w:rPr>
          <w:rFonts w:ascii="Arial" w:hAnsi="Arial" w:cs="Arial"/>
          <w:color w:val="000000"/>
          <w:sz w:val="20"/>
          <w:szCs w:val="20"/>
          <w:lang w:eastAsia="sl-SI"/>
        </w:rPr>
      </w:pPr>
      <w:r w:rsidRPr="003736E5">
        <w:rPr>
          <w:rFonts w:ascii="Arial" w:hAnsi="Arial" w:cs="Arial"/>
          <w:color w:val="000000"/>
          <w:sz w:val="20"/>
          <w:szCs w:val="20"/>
          <w:lang w:eastAsia="sl-SI"/>
        </w:rPr>
        <w:t>d</w:t>
      </w:r>
      <w:r w:rsidR="004C61E5" w:rsidRPr="003736E5">
        <w:rPr>
          <w:rFonts w:ascii="Arial" w:hAnsi="Arial" w:cs="Arial"/>
          <w:color w:val="000000"/>
          <w:sz w:val="20"/>
          <w:szCs w:val="20"/>
          <w:lang w:eastAsia="sl-SI"/>
        </w:rPr>
        <w:t xml:space="preserve">oločitev kazalnikov učinka za </w:t>
      </w:r>
      <w:r w:rsidR="004B5BF5" w:rsidRPr="003736E5">
        <w:rPr>
          <w:rFonts w:ascii="Arial" w:hAnsi="Arial" w:cs="Arial"/>
          <w:color w:val="000000"/>
          <w:sz w:val="20"/>
          <w:szCs w:val="20"/>
          <w:lang w:eastAsia="sl-SI"/>
        </w:rPr>
        <w:t xml:space="preserve">predvidene </w:t>
      </w:r>
      <w:r w:rsidR="004C61E5" w:rsidRPr="003736E5">
        <w:rPr>
          <w:rFonts w:ascii="Arial" w:hAnsi="Arial" w:cs="Arial"/>
          <w:color w:val="000000"/>
          <w:sz w:val="20"/>
          <w:szCs w:val="20"/>
          <w:lang w:eastAsia="sl-SI"/>
        </w:rPr>
        <w:t xml:space="preserve">ukrepe spodbujanja digitalne vključenosti. </w:t>
      </w:r>
    </w:p>
    <w:bookmarkEnd w:id="2"/>
    <w:p w14:paraId="336F5F00" w14:textId="46921D76" w:rsidR="009E4339" w:rsidRPr="003736E5" w:rsidRDefault="00465CF7" w:rsidP="0041080D">
      <w:pPr>
        <w:pStyle w:val="tevilkalena"/>
        <w:numPr>
          <w:ilvl w:val="0"/>
          <w:numId w:val="29"/>
        </w:numPr>
        <w:spacing w:after="0" w:line="360" w:lineRule="auto"/>
        <w:rPr>
          <w:rFonts w:cs="Arial"/>
        </w:rPr>
      </w:pPr>
      <w:r>
        <w:rPr>
          <w:rFonts w:cs="Arial"/>
        </w:rPr>
        <w:t>člen</w:t>
      </w:r>
    </w:p>
    <w:p w14:paraId="64051DEE" w14:textId="64DD999E" w:rsidR="004C61E5" w:rsidRPr="003736E5" w:rsidRDefault="004C61E5" w:rsidP="004C61E5">
      <w:pPr>
        <w:jc w:val="center"/>
        <w:rPr>
          <w:rFonts w:cs="Arial"/>
          <w:szCs w:val="20"/>
        </w:rPr>
      </w:pPr>
      <w:r w:rsidRPr="003736E5">
        <w:rPr>
          <w:rFonts w:cs="Arial"/>
          <w:szCs w:val="20"/>
        </w:rPr>
        <w:t>(</w:t>
      </w:r>
      <w:r w:rsidR="00F31ABE" w:rsidRPr="003736E5">
        <w:rPr>
          <w:rFonts w:cs="Arial"/>
          <w:szCs w:val="20"/>
        </w:rPr>
        <w:t>podlage za sprejem načrta</w:t>
      </w:r>
      <w:r w:rsidRPr="003736E5">
        <w:rPr>
          <w:rFonts w:cs="Arial"/>
          <w:szCs w:val="20"/>
        </w:rPr>
        <w:t>)</w:t>
      </w:r>
    </w:p>
    <w:p w14:paraId="3BEFB242" w14:textId="75966D0F" w:rsidR="004C61E5" w:rsidRPr="003736E5" w:rsidRDefault="004C61E5" w:rsidP="004C61E5">
      <w:pPr>
        <w:jc w:val="center"/>
        <w:rPr>
          <w:rFonts w:cs="Arial"/>
          <w:szCs w:val="20"/>
        </w:rPr>
      </w:pPr>
    </w:p>
    <w:p w14:paraId="6B1991E6" w14:textId="45E84D3E" w:rsidR="001933F3" w:rsidRPr="003736E5" w:rsidRDefault="00F31ABE" w:rsidP="00465CF7">
      <w:pPr>
        <w:jc w:val="both"/>
        <w:rPr>
          <w:rFonts w:cs="Arial"/>
          <w:szCs w:val="20"/>
        </w:rPr>
      </w:pPr>
      <w:r w:rsidRPr="003736E5">
        <w:rPr>
          <w:rFonts w:cs="Arial"/>
          <w:szCs w:val="20"/>
        </w:rPr>
        <w:t>(1) Podlage za sprejem načrta iz 1. točke prejšnjega člena zajemajo</w:t>
      </w:r>
      <w:r w:rsidR="001933F3" w:rsidRPr="003736E5">
        <w:rPr>
          <w:rFonts w:cs="Arial"/>
          <w:szCs w:val="20"/>
        </w:rPr>
        <w:t>:</w:t>
      </w:r>
    </w:p>
    <w:p w14:paraId="0538C9C4" w14:textId="19EE1E0B" w:rsidR="00F31ABE" w:rsidRPr="003736E5" w:rsidRDefault="00F31ABE" w:rsidP="00465CF7">
      <w:pPr>
        <w:jc w:val="both"/>
        <w:rPr>
          <w:rFonts w:cs="Arial"/>
          <w:szCs w:val="20"/>
        </w:rPr>
      </w:pPr>
      <w:r w:rsidRPr="003736E5">
        <w:rPr>
          <w:rFonts w:cs="Arial"/>
          <w:szCs w:val="20"/>
        </w:rPr>
        <w:t>-</w:t>
      </w:r>
      <w:r w:rsidR="00062135" w:rsidRPr="003736E5">
        <w:rPr>
          <w:rFonts w:cs="Arial"/>
          <w:szCs w:val="20"/>
        </w:rPr>
        <w:t xml:space="preserve"> </w:t>
      </w:r>
      <w:r w:rsidRPr="003736E5">
        <w:rPr>
          <w:rFonts w:cs="Arial"/>
          <w:szCs w:val="20"/>
        </w:rPr>
        <w:t>podatk</w:t>
      </w:r>
      <w:r w:rsidR="00062135" w:rsidRPr="003736E5">
        <w:rPr>
          <w:rFonts w:cs="Arial"/>
          <w:szCs w:val="20"/>
        </w:rPr>
        <w:t>e</w:t>
      </w:r>
      <w:r w:rsidRPr="003736E5">
        <w:rPr>
          <w:rFonts w:cs="Arial"/>
          <w:szCs w:val="20"/>
        </w:rPr>
        <w:t xml:space="preserve"> o veljavnih predpisih na področju spodbujanja</w:t>
      </w:r>
      <w:r w:rsidR="001933F3" w:rsidRPr="003736E5">
        <w:rPr>
          <w:rFonts w:cs="Arial"/>
          <w:szCs w:val="20"/>
        </w:rPr>
        <w:t xml:space="preserve"> digitaln</w:t>
      </w:r>
      <w:r w:rsidRPr="003736E5">
        <w:rPr>
          <w:rFonts w:cs="Arial"/>
          <w:szCs w:val="20"/>
        </w:rPr>
        <w:t>e</w:t>
      </w:r>
      <w:r w:rsidR="001933F3" w:rsidRPr="003736E5">
        <w:rPr>
          <w:rFonts w:cs="Arial"/>
          <w:szCs w:val="20"/>
        </w:rPr>
        <w:t xml:space="preserve"> vključenost</w:t>
      </w:r>
      <w:r w:rsidRPr="003736E5">
        <w:rPr>
          <w:rFonts w:cs="Arial"/>
          <w:szCs w:val="20"/>
        </w:rPr>
        <w:t>i</w:t>
      </w:r>
      <w:r w:rsidR="00062135" w:rsidRPr="003736E5">
        <w:rPr>
          <w:rFonts w:cs="Arial"/>
          <w:szCs w:val="20"/>
        </w:rPr>
        <w:t>,</w:t>
      </w:r>
    </w:p>
    <w:p w14:paraId="4AC9DDA3" w14:textId="3B731948" w:rsidR="00F31ABE" w:rsidRPr="003736E5" w:rsidRDefault="00F31ABE" w:rsidP="00465CF7">
      <w:pPr>
        <w:jc w:val="both"/>
        <w:rPr>
          <w:rFonts w:cs="Arial"/>
          <w:szCs w:val="20"/>
        </w:rPr>
      </w:pPr>
      <w:r w:rsidRPr="003736E5">
        <w:rPr>
          <w:rFonts w:cs="Arial"/>
          <w:szCs w:val="20"/>
        </w:rPr>
        <w:t>- podatke o strateških dokumentih Republike Slovenije in Evropske unije s področja digitalne vključenosti in</w:t>
      </w:r>
    </w:p>
    <w:p w14:paraId="26E2C58C" w14:textId="58B47343" w:rsidR="004C61E5" w:rsidRPr="003736E5" w:rsidRDefault="00F31ABE" w:rsidP="00465CF7">
      <w:pPr>
        <w:jc w:val="both"/>
        <w:rPr>
          <w:rFonts w:cs="Arial"/>
          <w:szCs w:val="20"/>
        </w:rPr>
      </w:pPr>
      <w:r w:rsidRPr="003736E5">
        <w:rPr>
          <w:rFonts w:cs="Arial"/>
          <w:szCs w:val="20"/>
        </w:rPr>
        <w:t>- podatek o obdobju, za katerega se sprejema načrt</w:t>
      </w:r>
      <w:r w:rsidR="005F1251" w:rsidRPr="003736E5">
        <w:rPr>
          <w:rFonts w:cs="Arial"/>
          <w:szCs w:val="20"/>
        </w:rPr>
        <w:t>, z določitvijo konkretnih koledarskih datumov začetka in konca ob</w:t>
      </w:r>
      <w:r w:rsidR="00C1173D" w:rsidRPr="003736E5">
        <w:rPr>
          <w:rFonts w:cs="Arial"/>
          <w:szCs w:val="20"/>
        </w:rPr>
        <w:t>d</w:t>
      </w:r>
      <w:r w:rsidR="005F1251" w:rsidRPr="003736E5">
        <w:rPr>
          <w:rFonts w:cs="Arial"/>
          <w:szCs w:val="20"/>
        </w:rPr>
        <w:t>obja</w:t>
      </w:r>
      <w:r w:rsidR="001933F3" w:rsidRPr="003736E5">
        <w:rPr>
          <w:rFonts w:cs="Arial"/>
          <w:szCs w:val="20"/>
        </w:rPr>
        <w:t>.</w:t>
      </w:r>
    </w:p>
    <w:p w14:paraId="69055F27" w14:textId="527FB0A8" w:rsidR="00F31ABE" w:rsidRPr="003736E5" w:rsidRDefault="00F31ABE" w:rsidP="001933F3">
      <w:pPr>
        <w:rPr>
          <w:rFonts w:cs="Arial"/>
          <w:szCs w:val="20"/>
        </w:rPr>
      </w:pPr>
    </w:p>
    <w:p w14:paraId="59AC0E96" w14:textId="3CE1302D" w:rsidR="00F368BD" w:rsidRPr="003736E5" w:rsidRDefault="00F31ABE" w:rsidP="00465CF7">
      <w:pPr>
        <w:jc w:val="both"/>
        <w:rPr>
          <w:rFonts w:cs="Arial"/>
          <w:szCs w:val="20"/>
        </w:rPr>
      </w:pPr>
      <w:r w:rsidRPr="003736E5">
        <w:rPr>
          <w:rFonts w:cs="Arial"/>
          <w:szCs w:val="20"/>
        </w:rPr>
        <w:t xml:space="preserve">(2) </w:t>
      </w:r>
      <w:r w:rsidR="00F368BD" w:rsidRPr="003736E5">
        <w:rPr>
          <w:rFonts w:cs="Arial"/>
          <w:color w:val="000000"/>
          <w:szCs w:val="20"/>
          <w:lang w:eastAsia="sl-SI"/>
        </w:rPr>
        <w:t xml:space="preserve">Podatki </w:t>
      </w:r>
      <w:r w:rsidRPr="003736E5">
        <w:rPr>
          <w:rFonts w:cs="Arial"/>
          <w:color w:val="000000"/>
          <w:szCs w:val="20"/>
          <w:lang w:eastAsia="sl-SI"/>
        </w:rPr>
        <w:t>iz druge alineje prejšnjega odstavka</w:t>
      </w:r>
      <w:r w:rsidR="00F368BD" w:rsidRPr="003736E5">
        <w:rPr>
          <w:rFonts w:cs="Arial"/>
          <w:color w:val="000000"/>
          <w:szCs w:val="20"/>
          <w:lang w:eastAsia="sl-SI"/>
        </w:rPr>
        <w:t xml:space="preserve"> obsegajo vsaj: </w:t>
      </w:r>
    </w:p>
    <w:p w14:paraId="0AAF15E9" w14:textId="43C79A7A" w:rsidR="00F368BD" w:rsidRPr="003736E5" w:rsidRDefault="005F1251" w:rsidP="00465CF7">
      <w:pPr>
        <w:jc w:val="both"/>
        <w:rPr>
          <w:rFonts w:cs="Arial"/>
          <w:szCs w:val="20"/>
          <w:lang w:eastAsia="sl-SI"/>
        </w:rPr>
      </w:pPr>
      <w:r w:rsidRPr="003736E5">
        <w:rPr>
          <w:rFonts w:cs="Arial"/>
          <w:szCs w:val="20"/>
          <w:lang w:eastAsia="sl-SI"/>
        </w:rPr>
        <w:t>-</w:t>
      </w:r>
      <w:r w:rsidR="00F368BD" w:rsidRPr="003736E5">
        <w:rPr>
          <w:rFonts w:cs="Arial"/>
          <w:szCs w:val="20"/>
          <w:lang w:eastAsia="sl-SI"/>
        </w:rPr>
        <w:t xml:space="preserve"> </w:t>
      </w:r>
      <w:r w:rsidR="00F31ABE" w:rsidRPr="003736E5">
        <w:rPr>
          <w:rFonts w:cs="Arial"/>
          <w:szCs w:val="20"/>
          <w:lang w:eastAsia="sl-SI"/>
        </w:rPr>
        <w:t>n</w:t>
      </w:r>
      <w:r w:rsidR="00F368BD" w:rsidRPr="003736E5">
        <w:rPr>
          <w:rFonts w:cs="Arial"/>
          <w:szCs w:val="20"/>
          <w:lang w:eastAsia="sl-SI"/>
        </w:rPr>
        <w:t>aziv dokumenta, ki je za obdobje, za katerega se sprejema načrt</w:t>
      </w:r>
      <w:r w:rsidR="00465CF7">
        <w:rPr>
          <w:rFonts w:cs="Arial"/>
          <w:szCs w:val="20"/>
          <w:lang w:eastAsia="sl-SI"/>
        </w:rPr>
        <w:t>,</w:t>
      </w:r>
      <w:r w:rsidR="00F368BD" w:rsidRPr="003736E5">
        <w:rPr>
          <w:rFonts w:cs="Arial"/>
          <w:szCs w:val="20"/>
          <w:lang w:eastAsia="sl-SI"/>
        </w:rPr>
        <w:t xml:space="preserve"> bodisi na </w:t>
      </w:r>
      <w:r w:rsidR="00465CF7">
        <w:rPr>
          <w:rFonts w:cs="Arial"/>
          <w:szCs w:val="20"/>
          <w:lang w:eastAsia="sl-SI"/>
        </w:rPr>
        <w:t>ravni Republike Slovenije bodisi na ravni Evropske unije,</w:t>
      </w:r>
      <w:r w:rsidR="00F368BD" w:rsidRPr="003736E5">
        <w:rPr>
          <w:rFonts w:cs="Arial"/>
          <w:szCs w:val="20"/>
          <w:lang w:eastAsia="sl-SI"/>
        </w:rPr>
        <w:t xml:space="preserve"> pomemben za področje digitalne vključenosti</w:t>
      </w:r>
      <w:r w:rsidR="00062135" w:rsidRPr="003736E5">
        <w:rPr>
          <w:rFonts w:cs="Arial"/>
          <w:szCs w:val="20"/>
          <w:lang w:eastAsia="sl-SI"/>
        </w:rPr>
        <w:t>,</w:t>
      </w:r>
      <w:r w:rsidR="00F368BD" w:rsidRPr="003736E5">
        <w:rPr>
          <w:rFonts w:cs="Arial"/>
          <w:szCs w:val="20"/>
          <w:lang w:eastAsia="sl-SI"/>
        </w:rPr>
        <w:t xml:space="preserve"> </w:t>
      </w:r>
    </w:p>
    <w:p w14:paraId="245F4B98" w14:textId="24016360" w:rsidR="00F368BD" w:rsidRPr="003736E5" w:rsidRDefault="005F1251" w:rsidP="00465CF7">
      <w:pPr>
        <w:jc w:val="both"/>
        <w:rPr>
          <w:rFonts w:cs="Arial"/>
          <w:szCs w:val="20"/>
          <w:lang w:eastAsia="sl-SI"/>
        </w:rPr>
      </w:pPr>
      <w:r w:rsidRPr="003736E5">
        <w:rPr>
          <w:rFonts w:cs="Arial"/>
          <w:szCs w:val="20"/>
          <w:lang w:eastAsia="sl-SI"/>
        </w:rPr>
        <w:t>-</w:t>
      </w:r>
      <w:r w:rsidR="00F368BD" w:rsidRPr="003736E5">
        <w:rPr>
          <w:rFonts w:cs="Arial"/>
          <w:szCs w:val="20"/>
          <w:lang w:eastAsia="sl-SI"/>
        </w:rPr>
        <w:t xml:space="preserve"> </w:t>
      </w:r>
      <w:r w:rsidR="00F31ABE" w:rsidRPr="003736E5">
        <w:rPr>
          <w:rFonts w:cs="Arial"/>
          <w:szCs w:val="20"/>
          <w:lang w:eastAsia="sl-SI"/>
        </w:rPr>
        <w:t>p</w:t>
      </w:r>
      <w:r w:rsidR="00F368BD" w:rsidRPr="003736E5">
        <w:rPr>
          <w:rFonts w:cs="Arial"/>
          <w:szCs w:val="20"/>
          <w:lang w:eastAsia="sl-SI"/>
        </w:rPr>
        <w:t xml:space="preserve">ovezavo do </w:t>
      </w:r>
      <w:r w:rsidR="00F31ABE" w:rsidRPr="003736E5">
        <w:rPr>
          <w:rFonts w:cs="Arial"/>
          <w:szCs w:val="20"/>
          <w:lang w:eastAsia="sl-SI"/>
        </w:rPr>
        <w:t xml:space="preserve">objavljenega </w:t>
      </w:r>
      <w:r w:rsidR="00F368BD" w:rsidRPr="003736E5">
        <w:rPr>
          <w:rFonts w:cs="Arial"/>
          <w:szCs w:val="20"/>
          <w:lang w:eastAsia="sl-SI"/>
        </w:rPr>
        <w:t>dokumenta iz prejšnje alineje</w:t>
      </w:r>
      <w:r w:rsidR="00062135" w:rsidRPr="003736E5">
        <w:rPr>
          <w:rFonts w:cs="Arial"/>
          <w:szCs w:val="20"/>
          <w:lang w:eastAsia="sl-SI"/>
        </w:rPr>
        <w:t xml:space="preserve"> in</w:t>
      </w:r>
      <w:r w:rsidR="00F368BD" w:rsidRPr="003736E5">
        <w:rPr>
          <w:rFonts w:cs="Arial"/>
          <w:szCs w:val="20"/>
          <w:lang w:eastAsia="sl-SI"/>
        </w:rPr>
        <w:t xml:space="preserve"> </w:t>
      </w:r>
    </w:p>
    <w:p w14:paraId="3CEF40DA" w14:textId="6CCA95FA" w:rsidR="00F368BD" w:rsidRPr="003736E5" w:rsidRDefault="00062135" w:rsidP="00465CF7">
      <w:pPr>
        <w:jc w:val="both"/>
        <w:rPr>
          <w:rFonts w:cs="Arial"/>
          <w:szCs w:val="20"/>
          <w:lang w:eastAsia="sl-SI"/>
        </w:rPr>
      </w:pPr>
      <w:r w:rsidRPr="003736E5">
        <w:rPr>
          <w:rFonts w:cs="Arial"/>
          <w:szCs w:val="20"/>
          <w:lang w:eastAsia="sl-SI"/>
        </w:rPr>
        <w:t>- k</w:t>
      </w:r>
      <w:r w:rsidR="00F368BD" w:rsidRPr="003736E5">
        <w:rPr>
          <w:rFonts w:cs="Arial"/>
          <w:szCs w:val="20"/>
          <w:lang w:eastAsia="sl-SI"/>
        </w:rPr>
        <w:t>ratek povzetek ključne vsebine</w:t>
      </w:r>
      <w:r w:rsidR="00465CF7">
        <w:rPr>
          <w:rFonts w:cs="Arial"/>
          <w:szCs w:val="20"/>
          <w:lang w:eastAsia="sl-SI"/>
        </w:rPr>
        <w:t xml:space="preserve"> dokumenta</w:t>
      </w:r>
      <w:r w:rsidR="00F368BD" w:rsidRPr="003736E5">
        <w:rPr>
          <w:rFonts w:cs="Arial"/>
          <w:szCs w:val="20"/>
          <w:lang w:eastAsia="sl-SI"/>
        </w:rPr>
        <w:t xml:space="preserve"> iz prve alineje tega odstavka. </w:t>
      </w:r>
    </w:p>
    <w:p w14:paraId="5855CA5E" w14:textId="7D0DB549" w:rsidR="005F1251" w:rsidRPr="003736E5" w:rsidRDefault="005F1251" w:rsidP="00F368BD">
      <w:pPr>
        <w:rPr>
          <w:rFonts w:cs="Arial"/>
          <w:szCs w:val="20"/>
          <w:lang w:eastAsia="sl-SI"/>
        </w:rPr>
      </w:pPr>
    </w:p>
    <w:p w14:paraId="78F8864C" w14:textId="71451BD9" w:rsidR="00F368BD" w:rsidRPr="003736E5" w:rsidRDefault="00F368BD" w:rsidP="00F368BD">
      <w:pPr>
        <w:rPr>
          <w:rFonts w:cs="Arial"/>
          <w:szCs w:val="20"/>
          <w:lang w:eastAsia="sl-SI"/>
        </w:rPr>
      </w:pPr>
    </w:p>
    <w:p w14:paraId="034A58FC" w14:textId="3D156FA8" w:rsidR="00F368BD" w:rsidRPr="003736E5" w:rsidRDefault="0041080D" w:rsidP="00F368BD">
      <w:pPr>
        <w:jc w:val="center"/>
        <w:rPr>
          <w:rFonts w:cs="Arial"/>
          <w:szCs w:val="20"/>
          <w:lang w:eastAsia="sl-SI"/>
        </w:rPr>
      </w:pPr>
      <w:r>
        <w:rPr>
          <w:rFonts w:cs="Arial"/>
          <w:szCs w:val="20"/>
          <w:lang w:eastAsia="sl-SI"/>
        </w:rPr>
        <w:t>4</w:t>
      </w:r>
      <w:r w:rsidR="00F368BD" w:rsidRPr="003736E5">
        <w:rPr>
          <w:rFonts w:cs="Arial"/>
          <w:szCs w:val="20"/>
          <w:lang w:eastAsia="sl-SI"/>
        </w:rPr>
        <w:t>. člen</w:t>
      </w:r>
    </w:p>
    <w:p w14:paraId="0D60AFCC" w14:textId="7DA841D9" w:rsidR="00F368BD" w:rsidRPr="003736E5" w:rsidRDefault="00F368BD" w:rsidP="00F368BD">
      <w:pPr>
        <w:jc w:val="center"/>
        <w:rPr>
          <w:rFonts w:cs="Arial"/>
          <w:szCs w:val="20"/>
          <w:lang w:eastAsia="sl-SI"/>
        </w:rPr>
      </w:pPr>
      <w:r w:rsidRPr="003736E5">
        <w:rPr>
          <w:rFonts w:cs="Arial"/>
          <w:szCs w:val="20"/>
          <w:lang w:eastAsia="sl-SI"/>
        </w:rPr>
        <w:lastRenderedPageBreak/>
        <w:t>(</w:t>
      </w:r>
      <w:r w:rsidR="00C1173D" w:rsidRPr="003736E5">
        <w:rPr>
          <w:rFonts w:cs="Arial"/>
          <w:szCs w:val="20"/>
          <w:lang w:eastAsia="sl-SI"/>
        </w:rPr>
        <w:t>ocena stanja</w:t>
      </w:r>
      <w:r w:rsidRPr="003736E5">
        <w:rPr>
          <w:rFonts w:cs="Arial"/>
          <w:szCs w:val="20"/>
          <w:lang w:eastAsia="sl-SI"/>
        </w:rPr>
        <w:t>)</w:t>
      </w:r>
    </w:p>
    <w:p w14:paraId="06FC9909" w14:textId="77777777" w:rsidR="00F368BD" w:rsidRPr="003736E5" w:rsidRDefault="00F368BD" w:rsidP="00F368BD">
      <w:pPr>
        <w:rPr>
          <w:rFonts w:cs="Arial"/>
          <w:szCs w:val="20"/>
          <w:lang w:eastAsia="sl-SI"/>
        </w:rPr>
      </w:pPr>
    </w:p>
    <w:p w14:paraId="4886FBDC" w14:textId="34F1C579" w:rsidR="004C61E5" w:rsidRPr="003736E5" w:rsidRDefault="00F368BD" w:rsidP="00F368BD">
      <w:pPr>
        <w:spacing w:line="360" w:lineRule="auto"/>
        <w:rPr>
          <w:rFonts w:cs="Arial"/>
          <w:szCs w:val="20"/>
        </w:rPr>
      </w:pPr>
      <w:r w:rsidRPr="003736E5">
        <w:rPr>
          <w:rFonts w:cs="Arial"/>
          <w:szCs w:val="20"/>
        </w:rPr>
        <w:t xml:space="preserve">(1) V </w:t>
      </w:r>
      <w:r w:rsidR="00C1173D" w:rsidRPr="003736E5">
        <w:rPr>
          <w:rFonts w:cs="Arial"/>
          <w:szCs w:val="20"/>
        </w:rPr>
        <w:t>okviru ocene stanja</w:t>
      </w:r>
      <w:r w:rsidRPr="003736E5">
        <w:rPr>
          <w:rFonts w:cs="Arial"/>
          <w:szCs w:val="20"/>
        </w:rPr>
        <w:t xml:space="preserve"> </w:t>
      </w:r>
      <w:r w:rsidR="00C1173D" w:rsidRPr="003736E5">
        <w:rPr>
          <w:rFonts w:cs="Arial"/>
          <w:szCs w:val="20"/>
        </w:rPr>
        <w:t xml:space="preserve">iz 2. točke </w:t>
      </w:r>
      <w:r w:rsidR="0041080D">
        <w:rPr>
          <w:rFonts w:cs="Arial"/>
          <w:szCs w:val="20"/>
        </w:rPr>
        <w:t>2</w:t>
      </w:r>
      <w:r w:rsidR="00C1173D" w:rsidRPr="003736E5">
        <w:rPr>
          <w:rFonts w:cs="Arial"/>
          <w:szCs w:val="20"/>
        </w:rPr>
        <w:t xml:space="preserve">. člena te uredbe se </w:t>
      </w:r>
      <w:r w:rsidRPr="003736E5">
        <w:rPr>
          <w:rFonts w:cs="Arial"/>
          <w:szCs w:val="20"/>
        </w:rPr>
        <w:t>povzamejo aktualni razpoložljivi statistični podatki za</w:t>
      </w:r>
      <w:r w:rsidR="00C1173D" w:rsidRPr="003736E5">
        <w:rPr>
          <w:rFonts w:cs="Arial"/>
          <w:szCs w:val="20"/>
        </w:rPr>
        <w:t xml:space="preserve"> Republiko</w:t>
      </w:r>
      <w:r w:rsidRPr="003736E5">
        <w:rPr>
          <w:rFonts w:cs="Arial"/>
          <w:szCs w:val="20"/>
        </w:rPr>
        <w:t xml:space="preserve"> </w:t>
      </w:r>
      <w:r w:rsidR="00B909D9" w:rsidRPr="003736E5">
        <w:rPr>
          <w:rFonts w:cs="Arial"/>
          <w:szCs w:val="20"/>
        </w:rPr>
        <w:t xml:space="preserve">Slovenijo </w:t>
      </w:r>
      <w:r w:rsidR="00C1173D" w:rsidRPr="003736E5">
        <w:rPr>
          <w:rFonts w:cs="Arial"/>
          <w:szCs w:val="20"/>
        </w:rPr>
        <w:t xml:space="preserve">za </w:t>
      </w:r>
      <w:r w:rsidRPr="003736E5">
        <w:rPr>
          <w:rFonts w:cs="Arial"/>
          <w:szCs w:val="20"/>
        </w:rPr>
        <w:t xml:space="preserve">vsako od </w:t>
      </w:r>
      <w:r w:rsidR="00062135" w:rsidRPr="003736E5">
        <w:rPr>
          <w:rFonts w:cs="Arial"/>
          <w:szCs w:val="20"/>
        </w:rPr>
        <w:t>naslednjih</w:t>
      </w:r>
      <w:r w:rsidRPr="003736E5">
        <w:rPr>
          <w:rFonts w:cs="Arial"/>
          <w:szCs w:val="20"/>
        </w:rPr>
        <w:t xml:space="preserve"> ključnih kategorij digitalne vključenosti:</w:t>
      </w:r>
    </w:p>
    <w:p w14:paraId="4368F201" w14:textId="0E67EB8E" w:rsidR="00F368BD" w:rsidRPr="003736E5" w:rsidRDefault="00C1173D" w:rsidP="00062135">
      <w:pPr>
        <w:shd w:val="clear" w:color="auto" w:fill="FFFFFF"/>
        <w:spacing w:line="360" w:lineRule="auto"/>
        <w:jc w:val="both"/>
        <w:rPr>
          <w:rFonts w:cs="Arial"/>
          <w:color w:val="000000"/>
          <w:szCs w:val="20"/>
          <w:lang w:eastAsia="sl-SI"/>
        </w:rPr>
      </w:pPr>
      <w:r w:rsidRPr="003736E5">
        <w:rPr>
          <w:rFonts w:cs="Arial"/>
          <w:color w:val="000000"/>
          <w:szCs w:val="20"/>
          <w:lang w:eastAsia="sl-SI"/>
        </w:rPr>
        <w:t xml:space="preserve">- </w:t>
      </w:r>
      <w:r w:rsidR="00F368BD" w:rsidRPr="003736E5">
        <w:rPr>
          <w:rFonts w:cs="Arial"/>
          <w:color w:val="000000"/>
          <w:szCs w:val="20"/>
          <w:lang w:eastAsia="sl-SI"/>
        </w:rPr>
        <w:t xml:space="preserve">dostopnost infrastrukture in opreme, </w:t>
      </w:r>
    </w:p>
    <w:p w14:paraId="2C18F30C" w14:textId="43C45E85" w:rsidR="00F368BD" w:rsidRPr="003736E5" w:rsidRDefault="00C1173D" w:rsidP="00062135">
      <w:pPr>
        <w:shd w:val="clear" w:color="auto" w:fill="FFFFFF"/>
        <w:spacing w:line="360" w:lineRule="auto"/>
        <w:jc w:val="both"/>
        <w:rPr>
          <w:rFonts w:cs="Arial"/>
          <w:color w:val="000000"/>
          <w:szCs w:val="20"/>
          <w:lang w:eastAsia="sl-SI"/>
        </w:rPr>
      </w:pPr>
      <w:r w:rsidRPr="003736E5">
        <w:rPr>
          <w:rFonts w:cs="Arial"/>
          <w:color w:val="000000"/>
          <w:szCs w:val="20"/>
          <w:lang w:eastAsia="sl-SI"/>
        </w:rPr>
        <w:t xml:space="preserve">- </w:t>
      </w:r>
      <w:r w:rsidR="00F368BD" w:rsidRPr="003736E5">
        <w:rPr>
          <w:rFonts w:cs="Arial"/>
          <w:color w:val="000000"/>
          <w:szCs w:val="20"/>
          <w:lang w:eastAsia="sl-SI"/>
        </w:rPr>
        <w:t xml:space="preserve">zaupanje v prednosti digitalne preobrazbe, </w:t>
      </w:r>
    </w:p>
    <w:p w14:paraId="5430CF4D" w14:textId="5F6AF1CA" w:rsidR="00F368BD" w:rsidRPr="003736E5" w:rsidRDefault="00C1173D" w:rsidP="00062135">
      <w:pPr>
        <w:shd w:val="clear" w:color="auto" w:fill="FFFFFF"/>
        <w:spacing w:line="360" w:lineRule="auto"/>
        <w:jc w:val="both"/>
        <w:rPr>
          <w:rFonts w:cs="Arial"/>
          <w:color w:val="000000"/>
          <w:szCs w:val="20"/>
          <w:lang w:eastAsia="sl-SI"/>
        </w:rPr>
      </w:pPr>
      <w:r w:rsidRPr="003736E5">
        <w:rPr>
          <w:rFonts w:cs="Arial"/>
          <w:color w:val="000000"/>
          <w:szCs w:val="20"/>
          <w:lang w:eastAsia="sl-SI"/>
        </w:rPr>
        <w:t xml:space="preserve">- </w:t>
      </w:r>
      <w:r w:rsidR="00F368BD" w:rsidRPr="003736E5">
        <w:rPr>
          <w:rFonts w:cs="Arial"/>
          <w:color w:val="000000"/>
          <w:szCs w:val="20"/>
          <w:lang w:eastAsia="sl-SI"/>
        </w:rPr>
        <w:t xml:space="preserve">digitalne kompetence, </w:t>
      </w:r>
    </w:p>
    <w:p w14:paraId="6F8DA2CC" w14:textId="24CAAFE5" w:rsidR="00F368BD" w:rsidRPr="003736E5" w:rsidRDefault="00C1173D" w:rsidP="00062135">
      <w:pPr>
        <w:shd w:val="clear" w:color="auto" w:fill="FFFFFF"/>
        <w:spacing w:line="360" w:lineRule="auto"/>
        <w:jc w:val="both"/>
        <w:rPr>
          <w:rFonts w:cs="Arial"/>
          <w:color w:val="000000"/>
          <w:szCs w:val="20"/>
          <w:lang w:eastAsia="sl-SI"/>
        </w:rPr>
      </w:pPr>
      <w:r w:rsidRPr="003736E5">
        <w:rPr>
          <w:rFonts w:cs="Arial"/>
          <w:color w:val="000000"/>
          <w:szCs w:val="20"/>
          <w:lang w:eastAsia="sl-SI"/>
        </w:rPr>
        <w:t xml:space="preserve">- </w:t>
      </w:r>
      <w:r w:rsidR="00F368BD" w:rsidRPr="003736E5">
        <w:rPr>
          <w:rFonts w:cs="Arial"/>
          <w:color w:val="000000"/>
          <w:szCs w:val="20"/>
          <w:lang w:eastAsia="sl-SI"/>
        </w:rPr>
        <w:t xml:space="preserve">aktivna vključenost v digitalno družbo. </w:t>
      </w:r>
    </w:p>
    <w:p w14:paraId="2D7B0EC1" w14:textId="3B8CF40E" w:rsidR="00B909D9" w:rsidRDefault="00F368BD" w:rsidP="00062135">
      <w:pPr>
        <w:rPr>
          <w:rFonts w:cs="Arial"/>
          <w:szCs w:val="20"/>
        </w:rPr>
      </w:pPr>
      <w:r w:rsidRPr="003736E5">
        <w:rPr>
          <w:rFonts w:cs="Arial"/>
          <w:szCs w:val="20"/>
        </w:rPr>
        <w:t xml:space="preserve">(2) V vsaki od kategorij </w:t>
      </w:r>
      <w:r w:rsidR="00062135" w:rsidRPr="003736E5">
        <w:rPr>
          <w:rFonts w:cs="Arial"/>
          <w:szCs w:val="20"/>
        </w:rPr>
        <w:t>iz prejšnjega odstavka</w:t>
      </w:r>
      <w:r w:rsidRPr="003736E5">
        <w:rPr>
          <w:rFonts w:cs="Arial"/>
          <w:szCs w:val="20"/>
        </w:rPr>
        <w:t xml:space="preserve"> se statistični podatki </w:t>
      </w:r>
      <w:r w:rsidR="00B909D9" w:rsidRPr="003736E5">
        <w:rPr>
          <w:rFonts w:cs="Arial"/>
          <w:szCs w:val="20"/>
        </w:rPr>
        <w:t>predstavijo glede na merila</w:t>
      </w:r>
      <w:r w:rsidR="00062135" w:rsidRPr="003736E5">
        <w:rPr>
          <w:rFonts w:cs="Arial"/>
          <w:szCs w:val="20"/>
        </w:rPr>
        <w:t xml:space="preserve">, na podlagi katerih se v skladu z zakonom določajo ciljne skupine. </w:t>
      </w:r>
      <w:r w:rsidR="00C1173D" w:rsidRPr="003736E5">
        <w:rPr>
          <w:rFonts w:cs="Arial"/>
          <w:szCs w:val="20"/>
        </w:rPr>
        <w:t xml:space="preserve"> </w:t>
      </w:r>
    </w:p>
    <w:p w14:paraId="297B9A39" w14:textId="05D84E15" w:rsidR="009A67C4" w:rsidRDefault="009A67C4" w:rsidP="00062135">
      <w:pPr>
        <w:rPr>
          <w:rFonts w:cs="Arial"/>
          <w:szCs w:val="20"/>
        </w:rPr>
      </w:pPr>
    </w:p>
    <w:p w14:paraId="54BB6061" w14:textId="5FE6CBD5" w:rsidR="009A67C4" w:rsidRDefault="009A67C4" w:rsidP="009A67C4">
      <w:pPr>
        <w:jc w:val="both"/>
        <w:rPr>
          <w:rFonts w:cs="Arial"/>
          <w:szCs w:val="20"/>
        </w:rPr>
      </w:pPr>
      <w:r>
        <w:rPr>
          <w:rFonts w:cs="Arial"/>
          <w:szCs w:val="20"/>
        </w:rPr>
        <w:t xml:space="preserve">(3) Ob upoštevanju aktualnih razpoložljivih statističnih podatkov iz prejšnjih odstavkov se pripravi </w:t>
      </w:r>
      <w:r w:rsidRPr="003736E5">
        <w:rPr>
          <w:rFonts w:cs="Arial"/>
          <w:szCs w:val="20"/>
        </w:rPr>
        <w:t>analiz</w:t>
      </w:r>
      <w:r>
        <w:rPr>
          <w:rFonts w:cs="Arial"/>
          <w:szCs w:val="20"/>
        </w:rPr>
        <w:t>a</w:t>
      </w:r>
      <w:r w:rsidRPr="003736E5">
        <w:rPr>
          <w:rFonts w:cs="Arial"/>
          <w:szCs w:val="20"/>
        </w:rPr>
        <w:t xml:space="preserve"> o obstoju manj ugodnega položaja posamezne ciljne skupine na področju digitalne vključenosti, ki terja določitev ukrepov za spodbujanje digitalne vključenosti, ki so namenjeni tej ciljni skupini.</w:t>
      </w:r>
      <w:r>
        <w:rPr>
          <w:rFonts w:cs="Arial"/>
          <w:szCs w:val="20"/>
        </w:rPr>
        <w:t xml:space="preserve"> Analiza je obvezna sestavina načrta. </w:t>
      </w:r>
    </w:p>
    <w:p w14:paraId="3426881E" w14:textId="4540A34A" w:rsidR="009A67C4" w:rsidRDefault="009A67C4" w:rsidP="009A67C4">
      <w:pPr>
        <w:jc w:val="both"/>
        <w:rPr>
          <w:rFonts w:cs="Arial"/>
          <w:szCs w:val="20"/>
        </w:rPr>
      </w:pPr>
    </w:p>
    <w:p w14:paraId="37E1DB3D" w14:textId="38F313FC" w:rsidR="009A67C4" w:rsidRPr="003736E5" w:rsidRDefault="009A67C4" w:rsidP="009A67C4">
      <w:pPr>
        <w:jc w:val="both"/>
        <w:rPr>
          <w:rFonts w:cs="Arial"/>
          <w:szCs w:val="20"/>
        </w:rPr>
      </w:pPr>
      <w:r w:rsidRPr="003736E5">
        <w:rPr>
          <w:rFonts w:cs="Arial"/>
          <w:szCs w:val="20"/>
        </w:rPr>
        <w:t>(</w:t>
      </w:r>
      <w:r>
        <w:rPr>
          <w:rFonts w:cs="Arial"/>
          <w:szCs w:val="20"/>
        </w:rPr>
        <w:t>4</w:t>
      </w:r>
      <w:r w:rsidRPr="003736E5">
        <w:rPr>
          <w:rFonts w:cs="Arial"/>
          <w:szCs w:val="20"/>
        </w:rPr>
        <w:t xml:space="preserve">) V okviru analize iz prejšnjega odstavka se predstavijo tudi vzroki, ki posamezni skupini bolj kot preostalemu prebivalstvu otežujejo ustrezno digitalno vključenost. </w:t>
      </w:r>
    </w:p>
    <w:p w14:paraId="5BC53728" w14:textId="77777777" w:rsidR="009A67C4" w:rsidRDefault="009A67C4" w:rsidP="009A67C4">
      <w:pPr>
        <w:jc w:val="both"/>
        <w:rPr>
          <w:rFonts w:cs="Arial"/>
          <w:szCs w:val="20"/>
        </w:rPr>
      </w:pPr>
    </w:p>
    <w:p w14:paraId="32942DA2" w14:textId="5C3DC494" w:rsidR="00672F6C" w:rsidRPr="003736E5" w:rsidRDefault="00672F6C" w:rsidP="00062135">
      <w:pPr>
        <w:rPr>
          <w:rFonts w:cs="Arial"/>
          <w:szCs w:val="20"/>
        </w:rPr>
      </w:pPr>
    </w:p>
    <w:p w14:paraId="44252183" w14:textId="16A625CE" w:rsidR="00672F6C" w:rsidRPr="003736E5" w:rsidRDefault="0041080D" w:rsidP="00672F6C">
      <w:pPr>
        <w:jc w:val="center"/>
        <w:rPr>
          <w:rFonts w:cs="Arial"/>
          <w:szCs w:val="20"/>
        </w:rPr>
      </w:pPr>
      <w:r>
        <w:rPr>
          <w:rFonts w:cs="Arial"/>
          <w:szCs w:val="20"/>
        </w:rPr>
        <w:t>5</w:t>
      </w:r>
      <w:r w:rsidR="00672F6C" w:rsidRPr="003736E5">
        <w:rPr>
          <w:rFonts w:cs="Arial"/>
          <w:szCs w:val="20"/>
        </w:rPr>
        <w:t>. člen</w:t>
      </w:r>
    </w:p>
    <w:p w14:paraId="5F836E16" w14:textId="4F8317E5" w:rsidR="00672F6C" w:rsidRPr="003736E5" w:rsidRDefault="00672F6C" w:rsidP="00672F6C">
      <w:pPr>
        <w:jc w:val="center"/>
        <w:rPr>
          <w:rFonts w:cs="Arial"/>
          <w:szCs w:val="20"/>
        </w:rPr>
      </w:pPr>
      <w:r w:rsidRPr="003736E5">
        <w:rPr>
          <w:rFonts w:cs="Arial"/>
          <w:szCs w:val="20"/>
        </w:rPr>
        <w:t>(določitev ciljnih skupin)</w:t>
      </w:r>
    </w:p>
    <w:p w14:paraId="5023377B" w14:textId="77777777" w:rsidR="00672F6C" w:rsidRPr="003736E5" w:rsidRDefault="00672F6C" w:rsidP="00672F6C">
      <w:pPr>
        <w:jc w:val="center"/>
        <w:rPr>
          <w:rFonts w:cs="Arial"/>
          <w:szCs w:val="20"/>
        </w:rPr>
      </w:pPr>
    </w:p>
    <w:p w14:paraId="72143C54" w14:textId="555E45A9" w:rsidR="00672F6C" w:rsidRPr="003736E5" w:rsidRDefault="00672F6C" w:rsidP="00F82382">
      <w:pPr>
        <w:jc w:val="both"/>
        <w:rPr>
          <w:rFonts w:cs="Arial"/>
          <w:szCs w:val="20"/>
        </w:rPr>
      </w:pPr>
      <w:r w:rsidRPr="003736E5">
        <w:rPr>
          <w:rFonts w:cs="Arial"/>
          <w:szCs w:val="20"/>
        </w:rPr>
        <w:t>(1) Ob upoštevanju ocene stanja</w:t>
      </w:r>
      <w:r w:rsidR="009A67C4">
        <w:rPr>
          <w:rFonts w:cs="Arial"/>
          <w:szCs w:val="20"/>
        </w:rPr>
        <w:t xml:space="preserve"> iz prejšnjega člena</w:t>
      </w:r>
      <w:r w:rsidRPr="003736E5">
        <w:rPr>
          <w:rFonts w:cs="Arial"/>
          <w:szCs w:val="20"/>
        </w:rPr>
        <w:t xml:space="preserve"> se v načrtu</w:t>
      </w:r>
      <w:r w:rsidR="00465CF7">
        <w:rPr>
          <w:rFonts w:cs="Arial"/>
          <w:szCs w:val="20"/>
        </w:rPr>
        <w:t xml:space="preserve"> na podlagi z zakonom določenih meril</w:t>
      </w:r>
      <w:r w:rsidRPr="003736E5">
        <w:rPr>
          <w:rFonts w:cs="Arial"/>
          <w:szCs w:val="20"/>
        </w:rPr>
        <w:t xml:space="preserve"> določijo ciljne skupine, ki so jim namenjeni ukrepi spodbujanja digitalne vključenosti za prihodnje dvoletno obdobje.</w:t>
      </w:r>
    </w:p>
    <w:p w14:paraId="0D5B49C5" w14:textId="77777777" w:rsidR="00672F6C" w:rsidRPr="003736E5" w:rsidRDefault="00672F6C" w:rsidP="00F82382">
      <w:pPr>
        <w:jc w:val="both"/>
        <w:rPr>
          <w:rFonts w:cs="Arial"/>
          <w:szCs w:val="20"/>
        </w:rPr>
      </w:pPr>
    </w:p>
    <w:p w14:paraId="48AB3EE7" w14:textId="5CEC2454" w:rsidR="00672F6C" w:rsidRPr="003736E5" w:rsidRDefault="00672F6C" w:rsidP="00465CF7">
      <w:pPr>
        <w:jc w:val="both"/>
        <w:rPr>
          <w:rFonts w:cs="Arial"/>
          <w:szCs w:val="20"/>
        </w:rPr>
      </w:pPr>
      <w:r w:rsidRPr="003736E5">
        <w:rPr>
          <w:rFonts w:cs="Arial"/>
          <w:szCs w:val="20"/>
        </w:rPr>
        <w:t xml:space="preserve">(2) Za posamezno ciljno skupino iz prejšnjega odstavka se v načrtu opiše lastnosti skupine glede na merila iz zakona, na podlagi katerih se določajo ciljne skupine, in obseg skupine. </w:t>
      </w:r>
    </w:p>
    <w:p w14:paraId="76003F2E" w14:textId="77777777" w:rsidR="00672F6C" w:rsidRPr="003736E5" w:rsidRDefault="00672F6C" w:rsidP="00F82382">
      <w:pPr>
        <w:spacing w:line="360" w:lineRule="auto"/>
        <w:rPr>
          <w:rFonts w:cs="Arial"/>
          <w:szCs w:val="20"/>
        </w:rPr>
      </w:pPr>
    </w:p>
    <w:p w14:paraId="5F6A31F2" w14:textId="01A43FFA" w:rsidR="004D6429" w:rsidRPr="003736E5" w:rsidRDefault="0041080D" w:rsidP="004D6429">
      <w:pPr>
        <w:jc w:val="center"/>
        <w:rPr>
          <w:rFonts w:cs="Arial"/>
          <w:szCs w:val="20"/>
        </w:rPr>
      </w:pPr>
      <w:r>
        <w:rPr>
          <w:rFonts w:cs="Arial"/>
          <w:szCs w:val="20"/>
        </w:rPr>
        <w:t>6</w:t>
      </w:r>
      <w:r w:rsidR="004D6429" w:rsidRPr="003736E5">
        <w:rPr>
          <w:rFonts w:cs="Arial"/>
          <w:szCs w:val="20"/>
        </w:rPr>
        <w:t>. člen</w:t>
      </w:r>
    </w:p>
    <w:p w14:paraId="52785917" w14:textId="44B76EDD" w:rsidR="00B909D9" w:rsidRPr="003736E5" w:rsidRDefault="004D6429" w:rsidP="004D6429">
      <w:pPr>
        <w:spacing w:line="360" w:lineRule="auto"/>
        <w:jc w:val="center"/>
        <w:rPr>
          <w:rFonts w:cs="Arial"/>
          <w:szCs w:val="20"/>
        </w:rPr>
      </w:pPr>
      <w:r w:rsidRPr="003736E5">
        <w:rPr>
          <w:rFonts w:cs="Arial"/>
          <w:szCs w:val="20"/>
        </w:rPr>
        <w:t>(</w:t>
      </w:r>
      <w:r w:rsidR="00843646" w:rsidRPr="003736E5">
        <w:rPr>
          <w:rFonts w:cs="Arial"/>
          <w:szCs w:val="20"/>
        </w:rPr>
        <w:t>d</w:t>
      </w:r>
      <w:r w:rsidR="00B909D9" w:rsidRPr="003736E5">
        <w:rPr>
          <w:rFonts w:cs="Arial"/>
          <w:szCs w:val="20"/>
        </w:rPr>
        <w:t>oločitev ciljne ravni digitalnih kompetenc</w:t>
      </w:r>
      <w:r w:rsidRPr="003736E5">
        <w:rPr>
          <w:rFonts w:cs="Arial"/>
          <w:szCs w:val="20"/>
        </w:rPr>
        <w:t>)</w:t>
      </w:r>
    </w:p>
    <w:p w14:paraId="77BE3DFA" w14:textId="585C8665" w:rsidR="00DD1FBF" w:rsidRPr="003736E5" w:rsidRDefault="00DD1FBF" w:rsidP="00F82382">
      <w:pPr>
        <w:spacing w:line="360" w:lineRule="auto"/>
        <w:jc w:val="both"/>
        <w:rPr>
          <w:rFonts w:cs="Arial"/>
          <w:szCs w:val="20"/>
        </w:rPr>
      </w:pPr>
    </w:p>
    <w:p w14:paraId="709CC427" w14:textId="79DE071C" w:rsidR="00DD1FBF" w:rsidRPr="003736E5" w:rsidRDefault="00DD1FBF" w:rsidP="00F82382">
      <w:pPr>
        <w:spacing w:line="360" w:lineRule="auto"/>
        <w:jc w:val="both"/>
        <w:rPr>
          <w:rFonts w:cs="Arial"/>
          <w:szCs w:val="20"/>
        </w:rPr>
      </w:pPr>
      <w:r w:rsidRPr="003736E5">
        <w:rPr>
          <w:rFonts w:cs="Arial"/>
          <w:szCs w:val="20"/>
        </w:rPr>
        <w:t xml:space="preserve">Glede na </w:t>
      </w:r>
      <w:r w:rsidR="00843646" w:rsidRPr="003736E5">
        <w:rPr>
          <w:rFonts w:cs="Arial"/>
          <w:szCs w:val="20"/>
        </w:rPr>
        <w:t xml:space="preserve">oceno </w:t>
      </w:r>
      <w:r w:rsidRPr="003736E5">
        <w:rPr>
          <w:rFonts w:cs="Arial"/>
          <w:szCs w:val="20"/>
        </w:rPr>
        <w:t>stanj</w:t>
      </w:r>
      <w:r w:rsidR="00843646" w:rsidRPr="003736E5">
        <w:rPr>
          <w:rFonts w:cs="Arial"/>
          <w:szCs w:val="20"/>
        </w:rPr>
        <w:t>a</w:t>
      </w:r>
      <w:r w:rsidR="00C9215A">
        <w:rPr>
          <w:rFonts w:cs="Arial"/>
          <w:szCs w:val="20"/>
        </w:rPr>
        <w:t xml:space="preserve"> iz </w:t>
      </w:r>
      <w:r w:rsidR="0041080D">
        <w:rPr>
          <w:rFonts w:cs="Arial"/>
          <w:szCs w:val="20"/>
        </w:rPr>
        <w:t>4</w:t>
      </w:r>
      <w:r w:rsidR="00C9215A">
        <w:rPr>
          <w:rFonts w:cs="Arial"/>
          <w:szCs w:val="20"/>
        </w:rPr>
        <w:t>. člena te uredbe</w:t>
      </w:r>
      <w:r w:rsidRPr="003736E5">
        <w:rPr>
          <w:rFonts w:cs="Arial"/>
          <w:szCs w:val="20"/>
        </w:rPr>
        <w:t xml:space="preserve"> in cilje</w:t>
      </w:r>
      <w:r w:rsidR="00843646" w:rsidRPr="003736E5">
        <w:rPr>
          <w:rFonts w:cs="Arial"/>
          <w:szCs w:val="20"/>
        </w:rPr>
        <w:t>, ki izhajajo iz strateških dokumentov Republike Slovenije in Evropske unije,</w:t>
      </w:r>
      <w:r w:rsidRPr="003736E5">
        <w:rPr>
          <w:rFonts w:cs="Arial"/>
          <w:szCs w:val="20"/>
        </w:rPr>
        <w:t xml:space="preserve"> se za vsako od ciljnih skupin</w:t>
      </w:r>
      <w:r w:rsidR="00B247E2" w:rsidRPr="003736E5">
        <w:rPr>
          <w:rFonts w:cs="Arial"/>
          <w:szCs w:val="20"/>
        </w:rPr>
        <w:t>, ki so jim namenjeni ukrepi spodbujanja digitalne vključenosti za prihodnje dvoletno obdobje,</w:t>
      </w:r>
      <w:r w:rsidR="00843646" w:rsidRPr="003736E5">
        <w:rPr>
          <w:rFonts w:cs="Arial"/>
          <w:szCs w:val="20"/>
        </w:rPr>
        <w:t xml:space="preserve"> v načrtu opredeli tudi</w:t>
      </w:r>
      <w:r w:rsidR="00B247E2" w:rsidRPr="003736E5">
        <w:rPr>
          <w:rFonts w:cs="Arial"/>
          <w:szCs w:val="20"/>
        </w:rPr>
        <w:t xml:space="preserve"> ciljna raven digitalnih kompetenc</w:t>
      </w:r>
      <w:r w:rsidR="00843646" w:rsidRPr="003736E5">
        <w:rPr>
          <w:rFonts w:cs="Arial"/>
          <w:szCs w:val="20"/>
        </w:rPr>
        <w:t>, to je raven digitalnih kompetenc, ki naj bi jo ciljna skupina, ki ji bodo ukrepi namenjeni, dosegla ob zaključku trajanja ukrepov</w:t>
      </w:r>
      <w:r w:rsidR="00F82382" w:rsidRPr="003736E5">
        <w:rPr>
          <w:rFonts w:cs="Arial"/>
          <w:szCs w:val="20"/>
        </w:rPr>
        <w:t>.</w:t>
      </w:r>
      <w:r w:rsidR="00B247E2" w:rsidRPr="003736E5">
        <w:rPr>
          <w:rFonts w:cs="Arial"/>
          <w:szCs w:val="20"/>
        </w:rPr>
        <w:t xml:space="preserve"> </w:t>
      </w:r>
    </w:p>
    <w:p w14:paraId="1DCC5B43" w14:textId="43D5CB2B" w:rsidR="004D6429" w:rsidRPr="003736E5" w:rsidRDefault="004D6429" w:rsidP="004D6429">
      <w:pPr>
        <w:spacing w:line="360" w:lineRule="auto"/>
        <w:jc w:val="center"/>
        <w:rPr>
          <w:rFonts w:cs="Arial"/>
          <w:szCs w:val="20"/>
        </w:rPr>
      </w:pPr>
    </w:p>
    <w:p w14:paraId="7BE00271" w14:textId="50C4F36A" w:rsidR="004D6429" w:rsidRPr="003736E5" w:rsidRDefault="0041080D" w:rsidP="004D6429">
      <w:pPr>
        <w:spacing w:line="360" w:lineRule="auto"/>
        <w:jc w:val="center"/>
        <w:rPr>
          <w:rFonts w:cs="Arial"/>
          <w:szCs w:val="20"/>
        </w:rPr>
      </w:pPr>
      <w:r>
        <w:rPr>
          <w:rFonts w:cs="Arial"/>
          <w:szCs w:val="20"/>
        </w:rPr>
        <w:t>7</w:t>
      </w:r>
      <w:r w:rsidR="004D6429" w:rsidRPr="003736E5">
        <w:rPr>
          <w:rFonts w:cs="Arial"/>
          <w:szCs w:val="20"/>
        </w:rPr>
        <w:t>. člen</w:t>
      </w:r>
    </w:p>
    <w:p w14:paraId="6DFEAAC8" w14:textId="5F605197" w:rsidR="00B909D9" w:rsidRPr="003736E5" w:rsidRDefault="004D6429" w:rsidP="004D6429">
      <w:pPr>
        <w:spacing w:line="360" w:lineRule="auto"/>
        <w:jc w:val="center"/>
        <w:rPr>
          <w:rFonts w:cs="Arial"/>
          <w:szCs w:val="20"/>
        </w:rPr>
      </w:pPr>
      <w:r w:rsidRPr="003736E5">
        <w:rPr>
          <w:rFonts w:cs="Arial"/>
          <w:szCs w:val="20"/>
        </w:rPr>
        <w:t>(</w:t>
      </w:r>
      <w:r w:rsidR="00F82382" w:rsidRPr="003736E5">
        <w:rPr>
          <w:rFonts w:cs="Arial"/>
          <w:szCs w:val="20"/>
        </w:rPr>
        <w:t>ukrepi za spodbujanje digitalne vključenosti</w:t>
      </w:r>
      <w:r w:rsidRPr="003736E5">
        <w:rPr>
          <w:rFonts w:cs="Arial"/>
          <w:szCs w:val="20"/>
        </w:rPr>
        <w:t>)</w:t>
      </w:r>
    </w:p>
    <w:p w14:paraId="451F350D" w14:textId="5942FB81" w:rsidR="00B247E2" w:rsidRPr="003736E5" w:rsidRDefault="00B247E2" w:rsidP="004D6429">
      <w:pPr>
        <w:spacing w:line="360" w:lineRule="auto"/>
        <w:jc w:val="center"/>
        <w:rPr>
          <w:rFonts w:cs="Arial"/>
          <w:szCs w:val="20"/>
        </w:rPr>
      </w:pPr>
    </w:p>
    <w:p w14:paraId="79B75E26" w14:textId="7C156C3C" w:rsidR="00B247E2" w:rsidRPr="003736E5" w:rsidRDefault="001C5DFF" w:rsidP="00F82382">
      <w:pPr>
        <w:spacing w:line="360" w:lineRule="auto"/>
        <w:jc w:val="both"/>
        <w:rPr>
          <w:rFonts w:cs="Arial"/>
          <w:szCs w:val="20"/>
        </w:rPr>
      </w:pPr>
      <w:r w:rsidRPr="003736E5">
        <w:rPr>
          <w:rFonts w:cs="Arial"/>
          <w:szCs w:val="20"/>
        </w:rPr>
        <w:t xml:space="preserve">(1) V načrtu se za obdobje </w:t>
      </w:r>
      <w:r w:rsidR="004E7F6E" w:rsidRPr="003736E5">
        <w:rPr>
          <w:rFonts w:cs="Arial"/>
          <w:szCs w:val="20"/>
        </w:rPr>
        <w:t>njegovega</w:t>
      </w:r>
      <w:r w:rsidR="00F82382" w:rsidRPr="003736E5">
        <w:rPr>
          <w:rFonts w:cs="Arial"/>
          <w:szCs w:val="20"/>
        </w:rPr>
        <w:t xml:space="preserve"> </w:t>
      </w:r>
      <w:r w:rsidRPr="003736E5">
        <w:rPr>
          <w:rFonts w:cs="Arial"/>
          <w:szCs w:val="20"/>
        </w:rPr>
        <w:t xml:space="preserve">trajanja opredelijo ukrepi spodbujanja, s katerimi bo dosežena ciljna raven digitalnih kompetenc </w:t>
      </w:r>
      <w:r w:rsidR="00F82382" w:rsidRPr="003736E5">
        <w:rPr>
          <w:rFonts w:cs="Arial"/>
          <w:szCs w:val="20"/>
        </w:rPr>
        <w:t xml:space="preserve">določenih ciljnih skupin. </w:t>
      </w:r>
    </w:p>
    <w:p w14:paraId="521854D1" w14:textId="014FEA29" w:rsidR="001C5DFF" w:rsidRPr="003736E5" w:rsidRDefault="001C5DFF" w:rsidP="00F82382">
      <w:pPr>
        <w:jc w:val="both"/>
        <w:rPr>
          <w:rFonts w:cs="Arial"/>
          <w:szCs w:val="20"/>
        </w:rPr>
      </w:pPr>
      <w:r w:rsidRPr="003736E5">
        <w:rPr>
          <w:rFonts w:cs="Arial"/>
          <w:szCs w:val="20"/>
        </w:rPr>
        <w:t xml:space="preserve">(2) Za vsakega od ukrepov se opredeli delovni naslov, namen ukrepa </w:t>
      </w:r>
      <w:r w:rsidR="00F82382" w:rsidRPr="003736E5">
        <w:rPr>
          <w:rFonts w:cs="Arial"/>
          <w:szCs w:val="20"/>
        </w:rPr>
        <w:t>in</w:t>
      </w:r>
      <w:r w:rsidRPr="003736E5">
        <w:rPr>
          <w:rFonts w:cs="Arial"/>
          <w:szCs w:val="20"/>
        </w:rPr>
        <w:t xml:space="preserve"> kratek opis predvidene vsebine ukrepa. </w:t>
      </w:r>
    </w:p>
    <w:p w14:paraId="245EB06F" w14:textId="77777777" w:rsidR="004D6429" w:rsidRPr="003736E5" w:rsidRDefault="004D6429" w:rsidP="004D6429">
      <w:pPr>
        <w:spacing w:line="360" w:lineRule="auto"/>
        <w:jc w:val="center"/>
        <w:rPr>
          <w:rFonts w:cs="Arial"/>
          <w:szCs w:val="20"/>
        </w:rPr>
      </w:pPr>
    </w:p>
    <w:p w14:paraId="15AB3BCB" w14:textId="57B89C49" w:rsidR="004D6429" w:rsidRPr="003736E5" w:rsidRDefault="0041080D" w:rsidP="004D6429">
      <w:pPr>
        <w:spacing w:line="360" w:lineRule="auto"/>
        <w:jc w:val="center"/>
        <w:rPr>
          <w:rFonts w:cs="Arial"/>
          <w:szCs w:val="20"/>
        </w:rPr>
      </w:pPr>
      <w:r>
        <w:rPr>
          <w:rFonts w:cs="Arial"/>
          <w:szCs w:val="20"/>
        </w:rPr>
        <w:lastRenderedPageBreak/>
        <w:t>8</w:t>
      </w:r>
      <w:r w:rsidR="004D6429" w:rsidRPr="003736E5">
        <w:rPr>
          <w:rFonts w:cs="Arial"/>
          <w:szCs w:val="20"/>
        </w:rPr>
        <w:t>. člen</w:t>
      </w:r>
    </w:p>
    <w:p w14:paraId="5DEABC48" w14:textId="725F14AC" w:rsidR="00B909D9" w:rsidRPr="003736E5" w:rsidRDefault="004D6429" w:rsidP="004D6429">
      <w:pPr>
        <w:spacing w:line="360" w:lineRule="auto"/>
        <w:jc w:val="center"/>
        <w:rPr>
          <w:rFonts w:cs="Arial"/>
          <w:szCs w:val="20"/>
        </w:rPr>
      </w:pPr>
      <w:r w:rsidRPr="003736E5">
        <w:rPr>
          <w:rFonts w:cs="Arial"/>
          <w:szCs w:val="20"/>
        </w:rPr>
        <w:t>(</w:t>
      </w:r>
      <w:r w:rsidR="003736E5" w:rsidRPr="003736E5">
        <w:rPr>
          <w:rFonts w:cs="Arial"/>
          <w:szCs w:val="20"/>
        </w:rPr>
        <w:t>o</w:t>
      </w:r>
      <w:r w:rsidR="00B909D9" w:rsidRPr="003736E5">
        <w:rPr>
          <w:rFonts w:cs="Arial"/>
          <w:szCs w:val="20"/>
        </w:rPr>
        <w:t xml:space="preserve">predelitev </w:t>
      </w:r>
      <w:r w:rsidR="003736E5" w:rsidRPr="003736E5">
        <w:rPr>
          <w:rFonts w:cs="Arial"/>
          <w:szCs w:val="20"/>
        </w:rPr>
        <w:t xml:space="preserve">ocenjenih </w:t>
      </w:r>
      <w:r w:rsidR="00C504D5" w:rsidRPr="003736E5">
        <w:rPr>
          <w:rFonts w:cs="Arial"/>
          <w:szCs w:val="20"/>
        </w:rPr>
        <w:t>finančnih posledic ukrepov</w:t>
      </w:r>
      <w:r w:rsidRPr="003736E5">
        <w:rPr>
          <w:rFonts w:cs="Arial"/>
          <w:szCs w:val="20"/>
        </w:rPr>
        <w:t>)</w:t>
      </w:r>
    </w:p>
    <w:p w14:paraId="1E67024A" w14:textId="7B911ACD" w:rsidR="004D6429" w:rsidRPr="003736E5" w:rsidRDefault="004D6429" w:rsidP="004D6429">
      <w:pPr>
        <w:spacing w:line="360" w:lineRule="auto"/>
        <w:jc w:val="center"/>
        <w:rPr>
          <w:rFonts w:cs="Arial"/>
          <w:szCs w:val="20"/>
        </w:rPr>
      </w:pPr>
    </w:p>
    <w:p w14:paraId="46363594" w14:textId="4B86F2AF" w:rsidR="00C504D5" w:rsidRPr="003736E5" w:rsidRDefault="003736E5" w:rsidP="003736E5">
      <w:pPr>
        <w:spacing w:line="360" w:lineRule="auto"/>
        <w:rPr>
          <w:rFonts w:cs="Arial"/>
          <w:szCs w:val="20"/>
        </w:rPr>
      </w:pPr>
      <w:r w:rsidRPr="003736E5">
        <w:rPr>
          <w:rFonts w:cs="Arial"/>
          <w:szCs w:val="20"/>
        </w:rPr>
        <w:t xml:space="preserve">(1) </w:t>
      </w:r>
      <w:r w:rsidR="0031285F" w:rsidRPr="003736E5">
        <w:rPr>
          <w:rFonts w:cs="Arial"/>
          <w:szCs w:val="20"/>
        </w:rPr>
        <w:t xml:space="preserve">Za vsakega od predvidenih ukrepov se v načrtu </w:t>
      </w:r>
      <w:r w:rsidR="00C504D5" w:rsidRPr="003736E5">
        <w:rPr>
          <w:rFonts w:cs="Arial"/>
          <w:szCs w:val="20"/>
        </w:rPr>
        <w:t xml:space="preserve">oceni </w:t>
      </w:r>
      <w:r w:rsidRPr="003736E5">
        <w:rPr>
          <w:rFonts w:cs="Arial"/>
          <w:szCs w:val="20"/>
        </w:rPr>
        <w:t xml:space="preserve">njegove </w:t>
      </w:r>
      <w:r w:rsidR="00C504D5" w:rsidRPr="003736E5">
        <w:rPr>
          <w:rFonts w:cs="Arial"/>
          <w:szCs w:val="20"/>
        </w:rPr>
        <w:t>finančn</w:t>
      </w:r>
      <w:r w:rsidRPr="003736E5">
        <w:rPr>
          <w:rFonts w:cs="Arial"/>
          <w:szCs w:val="20"/>
        </w:rPr>
        <w:t xml:space="preserve">e </w:t>
      </w:r>
      <w:r w:rsidR="00C504D5" w:rsidRPr="003736E5">
        <w:rPr>
          <w:rFonts w:cs="Arial"/>
          <w:szCs w:val="20"/>
        </w:rPr>
        <w:t>posledic</w:t>
      </w:r>
      <w:r w:rsidRPr="003736E5">
        <w:rPr>
          <w:rFonts w:cs="Arial"/>
          <w:szCs w:val="20"/>
        </w:rPr>
        <w:t>e</w:t>
      </w:r>
      <w:r w:rsidR="00C504D5" w:rsidRPr="003736E5">
        <w:rPr>
          <w:rFonts w:cs="Arial"/>
          <w:szCs w:val="20"/>
        </w:rPr>
        <w:t>.</w:t>
      </w:r>
    </w:p>
    <w:p w14:paraId="1647C6CF" w14:textId="18EF4769" w:rsidR="0031285F" w:rsidRPr="003736E5" w:rsidRDefault="003736E5" w:rsidP="003736E5">
      <w:pPr>
        <w:spacing w:line="360" w:lineRule="auto"/>
        <w:rPr>
          <w:rFonts w:cs="Arial"/>
          <w:szCs w:val="20"/>
        </w:rPr>
      </w:pPr>
      <w:r w:rsidRPr="003736E5">
        <w:rPr>
          <w:rFonts w:cs="Arial"/>
          <w:szCs w:val="20"/>
        </w:rPr>
        <w:t xml:space="preserve">(2) </w:t>
      </w:r>
      <w:r w:rsidR="00C504D5" w:rsidRPr="003736E5">
        <w:rPr>
          <w:rFonts w:cs="Arial"/>
          <w:szCs w:val="20"/>
        </w:rPr>
        <w:t>Ocena finančnih posledic iz prejšnjega odstavka mora vsebovati najmanj</w:t>
      </w:r>
      <w:r w:rsidR="0031285F" w:rsidRPr="003736E5">
        <w:rPr>
          <w:rFonts w:cs="Arial"/>
          <w:szCs w:val="20"/>
        </w:rPr>
        <w:t>:</w:t>
      </w:r>
    </w:p>
    <w:p w14:paraId="1DF9AA76" w14:textId="3F875A3F" w:rsidR="0031285F" w:rsidRPr="003736E5" w:rsidRDefault="0031285F" w:rsidP="0031285F">
      <w:pPr>
        <w:spacing w:line="360" w:lineRule="auto"/>
        <w:rPr>
          <w:rFonts w:cs="Arial"/>
          <w:szCs w:val="20"/>
        </w:rPr>
      </w:pPr>
      <w:r w:rsidRPr="003736E5">
        <w:rPr>
          <w:rFonts w:cs="Arial"/>
          <w:szCs w:val="20"/>
        </w:rPr>
        <w:t>1.     opredelitev vseh potrebnih finančnih sredstev</w:t>
      </w:r>
      <w:r w:rsidR="003736E5" w:rsidRPr="003736E5">
        <w:rPr>
          <w:rFonts w:cs="Arial"/>
          <w:szCs w:val="20"/>
        </w:rPr>
        <w:t xml:space="preserve"> za izvedbo posameznega ukrepa</w:t>
      </w:r>
      <w:r w:rsidRPr="003736E5">
        <w:rPr>
          <w:rFonts w:cs="Arial"/>
          <w:szCs w:val="20"/>
        </w:rPr>
        <w:t xml:space="preserve"> in</w:t>
      </w:r>
    </w:p>
    <w:p w14:paraId="791253C3" w14:textId="1BD7A567" w:rsidR="0031285F" w:rsidRPr="003736E5" w:rsidRDefault="0031285F" w:rsidP="0031285F">
      <w:pPr>
        <w:spacing w:line="360" w:lineRule="auto"/>
        <w:rPr>
          <w:rFonts w:cs="Arial"/>
          <w:szCs w:val="20"/>
        </w:rPr>
      </w:pPr>
      <w:r w:rsidRPr="003736E5">
        <w:rPr>
          <w:rFonts w:cs="Arial"/>
          <w:szCs w:val="20"/>
        </w:rPr>
        <w:t xml:space="preserve">2.     opredelitev predvidenih virov </w:t>
      </w:r>
      <w:r w:rsidR="004B5BF5" w:rsidRPr="003736E5">
        <w:rPr>
          <w:rFonts w:cs="Arial"/>
          <w:szCs w:val="20"/>
        </w:rPr>
        <w:t>financiranja</w:t>
      </w:r>
      <w:r w:rsidRPr="003736E5">
        <w:rPr>
          <w:rFonts w:cs="Arial"/>
          <w:szCs w:val="20"/>
        </w:rPr>
        <w:t xml:space="preserve">.  </w:t>
      </w:r>
    </w:p>
    <w:p w14:paraId="563648BB" w14:textId="77777777" w:rsidR="001C5DFF" w:rsidRPr="003736E5" w:rsidRDefault="001C5DFF" w:rsidP="004D6429">
      <w:pPr>
        <w:spacing w:line="360" w:lineRule="auto"/>
        <w:jc w:val="center"/>
        <w:rPr>
          <w:rFonts w:cs="Arial"/>
          <w:szCs w:val="20"/>
        </w:rPr>
      </w:pPr>
    </w:p>
    <w:p w14:paraId="64C20755" w14:textId="002C841C" w:rsidR="004D6429" w:rsidRPr="003736E5" w:rsidRDefault="0041080D" w:rsidP="004D6429">
      <w:pPr>
        <w:spacing w:line="360" w:lineRule="auto"/>
        <w:jc w:val="center"/>
        <w:rPr>
          <w:rFonts w:cs="Arial"/>
          <w:szCs w:val="20"/>
        </w:rPr>
      </w:pPr>
      <w:r>
        <w:rPr>
          <w:rFonts w:cs="Arial"/>
          <w:szCs w:val="20"/>
        </w:rPr>
        <w:t>9</w:t>
      </w:r>
      <w:r w:rsidR="004D6429" w:rsidRPr="003736E5">
        <w:rPr>
          <w:rFonts w:cs="Arial"/>
          <w:szCs w:val="20"/>
        </w:rPr>
        <w:t>. člen</w:t>
      </w:r>
    </w:p>
    <w:p w14:paraId="4E96A34D" w14:textId="734D02C8" w:rsidR="00B909D9" w:rsidRPr="003736E5" w:rsidRDefault="004D6429" w:rsidP="004D6429">
      <w:pPr>
        <w:spacing w:line="360" w:lineRule="auto"/>
        <w:jc w:val="center"/>
        <w:rPr>
          <w:rFonts w:cs="Arial"/>
          <w:szCs w:val="20"/>
        </w:rPr>
      </w:pPr>
      <w:r w:rsidRPr="003736E5">
        <w:rPr>
          <w:rFonts w:cs="Arial"/>
          <w:szCs w:val="20"/>
        </w:rPr>
        <w:t>(</w:t>
      </w:r>
      <w:r w:rsidR="003736E5" w:rsidRPr="003736E5">
        <w:rPr>
          <w:rFonts w:cs="Arial"/>
          <w:szCs w:val="20"/>
        </w:rPr>
        <w:t>d</w:t>
      </w:r>
      <w:r w:rsidR="00B909D9" w:rsidRPr="003736E5">
        <w:rPr>
          <w:rFonts w:cs="Arial"/>
          <w:szCs w:val="20"/>
        </w:rPr>
        <w:t>oločitev kazalnikov učinka</w:t>
      </w:r>
      <w:r w:rsidRPr="003736E5">
        <w:rPr>
          <w:rFonts w:cs="Arial"/>
          <w:szCs w:val="20"/>
        </w:rPr>
        <w:t>)</w:t>
      </w:r>
    </w:p>
    <w:p w14:paraId="4BF7E2C0" w14:textId="7FC2CC64" w:rsidR="0031285F" w:rsidRPr="003736E5" w:rsidRDefault="0031285F" w:rsidP="004D6429">
      <w:pPr>
        <w:spacing w:line="360" w:lineRule="auto"/>
        <w:jc w:val="center"/>
        <w:rPr>
          <w:rFonts w:cs="Arial"/>
          <w:szCs w:val="20"/>
        </w:rPr>
      </w:pPr>
    </w:p>
    <w:p w14:paraId="6F282710" w14:textId="73028E8F" w:rsidR="0031285F" w:rsidRPr="003736E5" w:rsidRDefault="0031285F" w:rsidP="0031285F">
      <w:pPr>
        <w:spacing w:line="360" w:lineRule="auto"/>
        <w:rPr>
          <w:rFonts w:cs="Arial"/>
          <w:szCs w:val="20"/>
        </w:rPr>
      </w:pPr>
      <w:r w:rsidRPr="003736E5">
        <w:rPr>
          <w:rFonts w:cs="Arial"/>
          <w:szCs w:val="20"/>
        </w:rPr>
        <w:t>Za vsakega od predvidenih ukrepov se v načrtu opredelijo kazalniki učinka</w:t>
      </w:r>
      <w:r w:rsidR="00C504D5" w:rsidRPr="003736E5">
        <w:rPr>
          <w:rFonts w:cs="Arial"/>
          <w:szCs w:val="20"/>
        </w:rPr>
        <w:t>, na podlagi katerih se bo merila učinkovitost izvedenih ukrepov</w:t>
      </w:r>
      <w:r w:rsidRPr="003736E5">
        <w:rPr>
          <w:rFonts w:cs="Arial"/>
          <w:szCs w:val="20"/>
        </w:rPr>
        <w:t xml:space="preserve">. </w:t>
      </w:r>
    </w:p>
    <w:p w14:paraId="52DBB053" w14:textId="51083DD0" w:rsidR="004D6429" w:rsidRPr="003736E5" w:rsidRDefault="004D6429" w:rsidP="004D6429">
      <w:pPr>
        <w:spacing w:line="360" w:lineRule="auto"/>
        <w:rPr>
          <w:rFonts w:cs="Arial"/>
          <w:szCs w:val="20"/>
        </w:rPr>
      </w:pPr>
    </w:p>
    <w:p w14:paraId="438E5271" w14:textId="70BF6F2E" w:rsidR="004D6429" w:rsidRPr="003736E5" w:rsidRDefault="004D6429" w:rsidP="004D6429">
      <w:pPr>
        <w:spacing w:line="360" w:lineRule="auto"/>
        <w:jc w:val="center"/>
        <w:rPr>
          <w:rFonts w:cs="Arial"/>
          <w:szCs w:val="20"/>
        </w:rPr>
      </w:pPr>
      <w:r w:rsidRPr="003736E5">
        <w:rPr>
          <w:rFonts w:cs="Arial"/>
          <w:szCs w:val="20"/>
        </w:rPr>
        <w:t>1</w:t>
      </w:r>
      <w:r w:rsidR="0041080D">
        <w:rPr>
          <w:rFonts w:cs="Arial"/>
          <w:szCs w:val="20"/>
        </w:rPr>
        <w:t>0</w:t>
      </w:r>
      <w:r w:rsidRPr="003736E5">
        <w:rPr>
          <w:rFonts w:cs="Arial"/>
          <w:szCs w:val="20"/>
        </w:rPr>
        <w:t>. člen</w:t>
      </w:r>
    </w:p>
    <w:p w14:paraId="518D887F" w14:textId="3B583FA4" w:rsidR="009E4339" w:rsidRPr="003736E5" w:rsidRDefault="009E4339" w:rsidP="004D6429">
      <w:pPr>
        <w:spacing w:line="360" w:lineRule="auto"/>
        <w:jc w:val="center"/>
        <w:rPr>
          <w:rFonts w:cs="Arial"/>
          <w:szCs w:val="20"/>
        </w:rPr>
      </w:pPr>
      <w:r w:rsidRPr="003736E5">
        <w:rPr>
          <w:rFonts w:cs="Arial"/>
          <w:szCs w:val="20"/>
        </w:rPr>
        <w:t>(začetek veljavnosti)</w:t>
      </w:r>
    </w:p>
    <w:p w14:paraId="63507327" w14:textId="205E77BC" w:rsidR="009E4339" w:rsidRPr="003736E5" w:rsidRDefault="009E4339" w:rsidP="004C61E5">
      <w:pPr>
        <w:spacing w:line="360" w:lineRule="auto"/>
        <w:jc w:val="center"/>
        <w:rPr>
          <w:rFonts w:cs="Arial"/>
          <w:szCs w:val="20"/>
        </w:rPr>
      </w:pPr>
    </w:p>
    <w:p w14:paraId="63243598" w14:textId="1CB31105" w:rsidR="009E4339" w:rsidRPr="003736E5" w:rsidRDefault="009E4339" w:rsidP="003736E5">
      <w:pPr>
        <w:spacing w:line="360" w:lineRule="auto"/>
        <w:rPr>
          <w:rFonts w:cs="Arial"/>
          <w:szCs w:val="20"/>
        </w:rPr>
      </w:pPr>
      <w:r w:rsidRPr="003736E5">
        <w:rPr>
          <w:rFonts w:cs="Arial"/>
          <w:szCs w:val="20"/>
        </w:rPr>
        <w:t>Ta uredba začne veljati</w:t>
      </w:r>
      <w:r w:rsidR="004C61E5" w:rsidRPr="003736E5">
        <w:rPr>
          <w:rFonts w:cs="Arial"/>
          <w:szCs w:val="20"/>
        </w:rPr>
        <w:t xml:space="preserve"> </w:t>
      </w:r>
      <w:r w:rsidR="00C504D5" w:rsidRPr="003736E5">
        <w:rPr>
          <w:rFonts w:cs="Arial"/>
          <w:szCs w:val="20"/>
        </w:rPr>
        <w:t>petnajsti</w:t>
      </w:r>
      <w:r w:rsidR="004C61E5" w:rsidRPr="003736E5">
        <w:rPr>
          <w:rFonts w:cs="Arial"/>
          <w:szCs w:val="20"/>
        </w:rPr>
        <w:t xml:space="preserve"> dan </w:t>
      </w:r>
      <w:r w:rsidRPr="003736E5">
        <w:rPr>
          <w:rFonts w:cs="Arial"/>
          <w:szCs w:val="20"/>
        </w:rPr>
        <w:t>po objavi v Uradnem listu</w:t>
      </w:r>
      <w:r w:rsidR="00C504D5" w:rsidRPr="003736E5">
        <w:rPr>
          <w:rFonts w:cs="Arial"/>
          <w:szCs w:val="20"/>
        </w:rPr>
        <w:t xml:space="preserve"> Republike Slovenije</w:t>
      </w:r>
      <w:r w:rsidRPr="003736E5">
        <w:rPr>
          <w:rFonts w:cs="Arial"/>
          <w:szCs w:val="20"/>
        </w:rPr>
        <w:t>.</w:t>
      </w:r>
    </w:p>
    <w:p w14:paraId="59AE155F" w14:textId="564E3532" w:rsidR="009E4339" w:rsidRPr="003736E5" w:rsidRDefault="009E4339" w:rsidP="004C61E5">
      <w:pPr>
        <w:pStyle w:val="tevilkalena"/>
        <w:numPr>
          <w:ilvl w:val="0"/>
          <w:numId w:val="0"/>
        </w:numPr>
        <w:spacing w:after="0" w:line="360" w:lineRule="auto"/>
        <w:ind w:left="360"/>
        <w:jc w:val="left"/>
        <w:rPr>
          <w:rFonts w:cs="Arial"/>
        </w:rPr>
      </w:pPr>
    </w:p>
    <w:p w14:paraId="062E3D51" w14:textId="77777777" w:rsidR="00336083" w:rsidRPr="003736E5" w:rsidRDefault="00336083" w:rsidP="004C61E5">
      <w:pPr>
        <w:spacing w:line="360" w:lineRule="auto"/>
        <w:rPr>
          <w:rFonts w:cs="Arial"/>
          <w:szCs w:val="20"/>
        </w:rPr>
      </w:pPr>
    </w:p>
    <w:p w14:paraId="36F30D51" w14:textId="77777777" w:rsidR="00336083" w:rsidRPr="003736E5" w:rsidRDefault="00336083" w:rsidP="004C61E5">
      <w:pPr>
        <w:spacing w:line="360" w:lineRule="auto"/>
        <w:rPr>
          <w:rFonts w:cs="Arial"/>
          <w:szCs w:val="20"/>
        </w:rPr>
      </w:pPr>
      <w:r w:rsidRPr="003736E5">
        <w:rPr>
          <w:rFonts w:cs="Arial"/>
          <w:szCs w:val="20"/>
        </w:rPr>
        <w:t xml:space="preserve">Št. </w:t>
      </w:r>
    </w:p>
    <w:p w14:paraId="25529B71" w14:textId="77777777" w:rsidR="00336083" w:rsidRPr="003736E5" w:rsidRDefault="00336083" w:rsidP="004C61E5">
      <w:pPr>
        <w:spacing w:line="360" w:lineRule="auto"/>
        <w:rPr>
          <w:rFonts w:cs="Arial"/>
          <w:szCs w:val="20"/>
        </w:rPr>
      </w:pPr>
      <w:r w:rsidRPr="003736E5">
        <w:rPr>
          <w:rFonts w:cs="Arial"/>
          <w:szCs w:val="20"/>
        </w:rPr>
        <w:t xml:space="preserve">Ljubljana, dne </w:t>
      </w:r>
    </w:p>
    <w:p w14:paraId="6D220EAC" w14:textId="43072A50" w:rsidR="00336083" w:rsidRPr="003736E5" w:rsidRDefault="00336083" w:rsidP="004C61E5">
      <w:pPr>
        <w:spacing w:line="360" w:lineRule="auto"/>
        <w:rPr>
          <w:rFonts w:cs="Arial"/>
          <w:szCs w:val="20"/>
        </w:rPr>
      </w:pPr>
      <w:r w:rsidRPr="003736E5">
        <w:rPr>
          <w:rFonts w:cs="Arial"/>
          <w:szCs w:val="20"/>
        </w:rPr>
        <w:t xml:space="preserve">EVA </w:t>
      </w:r>
      <w:r w:rsidR="003736E5" w:rsidRPr="003736E5">
        <w:rPr>
          <w:rFonts w:cs="Arial"/>
          <w:szCs w:val="20"/>
        </w:rPr>
        <w:t>2023-3150-0028</w:t>
      </w:r>
    </w:p>
    <w:p w14:paraId="4E99C768" w14:textId="77777777" w:rsidR="00336083" w:rsidRPr="003736E5" w:rsidRDefault="00336083" w:rsidP="004C61E5">
      <w:pPr>
        <w:tabs>
          <w:tab w:val="left" w:pos="708"/>
        </w:tabs>
        <w:spacing w:line="360" w:lineRule="auto"/>
        <w:jc w:val="both"/>
        <w:rPr>
          <w:rFonts w:cs="Arial"/>
          <w:b/>
          <w:bCs/>
          <w:color w:val="000000" w:themeColor="text1"/>
          <w:szCs w:val="20"/>
        </w:rPr>
      </w:pPr>
    </w:p>
    <w:tbl>
      <w:tblPr>
        <w:tblW w:w="0" w:type="auto"/>
        <w:tblLook w:val="04A0" w:firstRow="1" w:lastRow="0" w:firstColumn="1" w:lastColumn="0" w:noHBand="0" w:noVBand="1"/>
      </w:tblPr>
      <w:tblGrid>
        <w:gridCol w:w="4789"/>
        <w:gridCol w:w="3709"/>
      </w:tblGrid>
      <w:tr w:rsidR="00336083" w:rsidRPr="003736E5" w14:paraId="7E457B7D" w14:textId="77777777" w:rsidTr="00785E46">
        <w:tc>
          <w:tcPr>
            <w:tcW w:w="4789" w:type="dxa"/>
            <w:shd w:val="clear" w:color="auto" w:fill="auto"/>
          </w:tcPr>
          <w:p w14:paraId="7C83C269" w14:textId="77777777" w:rsidR="00336083" w:rsidRPr="003736E5" w:rsidRDefault="00336083" w:rsidP="004C61E5">
            <w:pPr>
              <w:tabs>
                <w:tab w:val="left" w:pos="708"/>
              </w:tabs>
              <w:spacing w:line="360" w:lineRule="auto"/>
              <w:jc w:val="both"/>
              <w:rPr>
                <w:rFonts w:cs="Arial"/>
                <w:b/>
                <w:bCs/>
                <w:color w:val="000000" w:themeColor="text1"/>
                <w:szCs w:val="20"/>
              </w:rPr>
            </w:pPr>
          </w:p>
        </w:tc>
        <w:tc>
          <w:tcPr>
            <w:tcW w:w="3709" w:type="dxa"/>
            <w:shd w:val="clear" w:color="auto" w:fill="auto"/>
          </w:tcPr>
          <w:p w14:paraId="65C629FB" w14:textId="77777777" w:rsidR="00336083" w:rsidRPr="003736E5" w:rsidRDefault="00336083" w:rsidP="004C61E5">
            <w:pPr>
              <w:tabs>
                <w:tab w:val="left" w:pos="708"/>
              </w:tabs>
              <w:spacing w:line="360" w:lineRule="auto"/>
              <w:jc w:val="center"/>
              <w:rPr>
                <w:rFonts w:cs="Arial"/>
                <w:color w:val="000000" w:themeColor="text1"/>
                <w:szCs w:val="20"/>
              </w:rPr>
            </w:pPr>
            <w:r w:rsidRPr="003736E5">
              <w:rPr>
                <w:rFonts w:cs="Arial"/>
                <w:color w:val="000000" w:themeColor="text1"/>
                <w:szCs w:val="20"/>
              </w:rPr>
              <w:t>Vlada Republike Slovenije</w:t>
            </w:r>
          </w:p>
        </w:tc>
      </w:tr>
      <w:tr w:rsidR="00336083" w:rsidRPr="003736E5" w14:paraId="07980CA0" w14:textId="77777777" w:rsidTr="00785E46">
        <w:tc>
          <w:tcPr>
            <w:tcW w:w="4789" w:type="dxa"/>
            <w:shd w:val="clear" w:color="auto" w:fill="auto"/>
          </w:tcPr>
          <w:p w14:paraId="4A9F6D89" w14:textId="77777777" w:rsidR="00336083" w:rsidRPr="003736E5" w:rsidRDefault="00336083" w:rsidP="004C61E5">
            <w:pPr>
              <w:tabs>
                <w:tab w:val="left" w:pos="708"/>
              </w:tabs>
              <w:spacing w:line="360" w:lineRule="auto"/>
              <w:jc w:val="both"/>
              <w:rPr>
                <w:rFonts w:cs="Arial"/>
                <w:b/>
                <w:bCs/>
                <w:color w:val="000000" w:themeColor="text1"/>
                <w:szCs w:val="20"/>
              </w:rPr>
            </w:pPr>
          </w:p>
        </w:tc>
        <w:tc>
          <w:tcPr>
            <w:tcW w:w="3709" w:type="dxa"/>
            <w:shd w:val="clear" w:color="auto" w:fill="auto"/>
          </w:tcPr>
          <w:p w14:paraId="6139F5D0" w14:textId="77777777" w:rsidR="00336083" w:rsidRPr="003736E5" w:rsidRDefault="00336083" w:rsidP="004C61E5">
            <w:pPr>
              <w:tabs>
                <w:tab w:val="left" w:pos="708"/>
              </w:tabs>
              <w:spacing w:line="360" w:lineRule="auto"/>
              <w:jc w:val="center"/>
              <w:rPr>
                <w:rFonts w:cs="Arial"/>
                <w:color w:val="000000" w:themeColor="text1"/>
                <w:szCs w:val="20"/>
              </w:rPr>
            </w:pPr>
            <w:r w:rsidRPr="003736E5">
              <w:rPr>
                <w:rFonts w:cs="Arial"/>
                <w:color w:val="000000" w:themeColor="text1"/>
                <w:szCs w:val="20"/>
              </w:rPr>
              <w:t>dr. Robert Golob</w:t>
            </w:r>
          </w:p>
        </w:tc>
      </w:tr>
      <w:tr w:rsidR="00336083" w:rsidRPr="003736E5" w14:paraId="6DC8D470" w14:textId="77777777" w:rsidTr="00785E46">
        <w:tc>
          <w:tcPr>
            <w:tcW w:w="4789" w:type="dxa"/>
            <w:shd w:val="clear" w:color="auto" w:fill="auto"/>
          </w:tcPr>
          <w:p w14:paraId="6F29045A" w14:textId="77777777" w:rsidR="00336083" w:rsidRPr="003736E5" w:rsidRDefault="00336083" w:rsidP="004C61E5">
            <w:pPr>
              <w:tabs>
                <w:tab w:val="left" w:pos="708"/>
              </w:tabs>
              <w:spacing w:line="360" w:lineRule="auto"/>
              <w:jc w:val="both"/>
              <w:rPr>
                <w:rFonts w:cs="Arial"/>
                <w:b/>
                <w:bCs/>
                <w:color w:val="000000" w:themeColor="text1"/>
                <w:szCs w:val="20"/>
              </w:rPr>
            </w:pPr>
          </w:p>
        </w:tc>
        <w:tc>
          <w:tcPr>
            <w:tcW w:w="3709" w:type="dxa"/>
            <w:shd w:val="clear" w:color="auto" w:fill="auto"/>
          </w:tcPr>
          <w:p w14:paraId="1398F3AC" w14:textId="77777777" w:rsidR="00336083" w:rsidRPr="003736E5" w:rsidRDefault="00336083" w:rsidP="004C61E5">
            <w:pPr>
              <w:tabs>
                <w:tab w:val="left" w:pos="708"/>
              </w:tabs>
              <w:spacing w:line="360" w:lineRule="auto"/>
              <w:jc w:val="center"/>
              <w:rPr>
                <w:rFonts w:cs="Arial"/>
                <w:color w:val="000000" w:themeColor="text1"/>
                <w:szCs w:val="20"/>
              </w:rPr>
            </w:pPr>
            <w:r w:rsidRPr="003736E5">
              <w:rPr>
                <w:rFonts w:cs="Arial"/>
                <w:color w:val="000000" w:themeColor="text1"/>
                <w:szCs w:val="20"/>
              </w:rPr>
              <w:t>predsednik</w:t>
            </w:r>
          </w:p>
        </w:tc>
      </w:tr>
    </w:tbl>
    <w:p w14:paraId="115BB4A8" w14:textId="77777777" w:rsidR="00336083" w:rsidRPr="003736E5" w:rsidRDefault="00336083" w:rsidP="004C61E5">
      <w:pPr>
        <w:spacing w:line="360" w:lineRule="auto"/>
        <w:rPr>
          <w:rFonts w:cs="Arial"/>
          <w:szCs w:val="20"/>
        </w:rPr>
      </w:pPr>
    </w:p>
    <w:p w14:paraId="773DEAC7" w14:textId="007E6CF7" w:rsidR="009E4339" w:rsidRPr="003736E5" w:rsidRDefault="009E4339" w:rsidP="004C61E5">
      <w:pPr>
        <w:pStyle w:val="tevilkalena"/>
        <w:numPr>
          <w:ilvl w:val="0"/>
          <w:numId w:val="0"/>
        </w:numPr>
        <w:spacing w:after="0" w:line="360" w:lineRule="auto"/>
        <w:ind w:left="360"/>
        <w:jc w:val="left"/>
        <w:rPr>
          <w:rFonts w:cs="Arial"/>
        </w:rPr>
      </w:pPr>
    </w:p>
    <w:p w14:paraId="53C3169A" w14:textId="77777777" w:rsidR="00356298" w:rsidRPr="003736E5" w:rsidRDefault="00356298" w:rsidP="004C61E5">
      <w:pPr>
        <w:spacing w:line="360" w:lineRule="auto"/>
        <w:rPr>
          <w:rFonts w:cs="Arial"/>
          <w:szCs w:val="20"/>
        </w:rPr>
      </w:pPr>
    </w:p>
    <w:p w14:paraId="7E2DECD4" w14:textId="28234EBB" w:rsidR="0064543D" w:rsidRDefault="0064543D">
      <w:pPr>
        <w:spacing w:after="160" w:line="259" w:lineRule="auto"/>
        <w:rPr>
          <w:rFonts w:eastAsiaTheme="minorHAnsi" w:cs="Arial"/>
          <w:szCs w:val="20"/>
        </w:rPr>
      </w:pPr>
      <w:r>
        <w:rPr>
          <w:rFonts w:eastAsiaTheme="minorHAnsi" w:cs="Arial"/>
          <w:szCs w:val="20"/>
        </w:rPr>
        <w:br w:type="page"/>
      </w:r>
    </w:p>
    <w:p w14:paraId="7C225814" w14:textId="77777777" w:rsidR="0064543D" w:rsidRPr="0064543D" w:rsidRDefault="0064543D" w:rsidP="0064543D">
      <w:pPr>
        <w:spacing w:line="240" w:lineRule="auto"/>
        <w:rPr>
          <w:rFonts w:cs="Arial"/>
          <w:szCs w:val="20"/>
        </w:rPr>
      </w:pPr>
      <w:r w:rsidRPr="0064543D">
        <w:rPr>
          <w:rFonts w:eastAsia="Calibri" w:cs="Arial"/>
          <w:b/>
          <w:szCs w:val="20"/>
        </w:rPr>
        <w:lastRenderedPageBreak/>
        <w:t xml:space="preserve">OBRAZLOŽITEV </w:t>
      </w:r>
    </w:p>
    <w:p w14:paraId="4C99F6F1" w14:textId="77777777" w:rsidR="0064543D" w:rsidRPr="0064543D" w:rsidRDefault="0064543D" w:rsidP="0064543D">
      <w:pPr>
        <w:jc w:val="both"/>
        <w:rPr>
          <w:rFonts w:eastAsia="Calibri" w:cs="Arial"/>
          <w:b/>
          <w:szCs w:val="20"/>
        </w:rPr>
      </w:pPr>
    </w:p>
    <w:p w14:paraId="49A3692C" w14:textId="77777777" w:rsidR="0064543D" w:rsidRPr="0064543D" w:rsidRDefault="0064543D" w:rsidP="0064543D">
      <w:pPr>
        <w:numPr>
          <w:ilvl w:val="0"/>
          <w:numId w:val="30"/>
        </w:numPr>
        <w:ind w:hanging="1080"/>
        <w:jc w:val="both"/>
        <w:rPr>
          <w:rFonts w:eastAsia="Calibri" w:cs="Arial"/>
          <w:szCs w:val="20"/>
        </w:rPr>
      </w:pPr>
      <w:r w:rsidRPr="0064543D">
        <w:rPr>
          <w:rFonts w:eastAsia="Calibri" w:cs="Arial"/>
          <w:szCs w:val="20"/>
        </w:rPr>
        <w:t>UVOD</w:t>
      </w:r>
    </w:p>
    <w:p w14:paraId="1D068CDC" w14:textId="77777777" w:rsidR="0064543D" w:rsidRPr="0064543D" w:rsidRDefault="0064543D" w:rsidP="0064543D">
      <w:pPr>
        <w:numPr>
          <w:ilvl w:val="0"/>
          <w:numId w:val="31"/>
        </w:numPr>
        <w:ind w:left="284" w:hanging="284"/>
        <w:jc w:val="both"/>
        <w:rPr>
          <w:rFonts w:eastAsia="Calibri" w:cs="Arial"/>
          <w:szCs w:val="20"/>
        </w:rPr>
      </w:pPr>
      <w:r w:rsidRPr="0064543D">
        <w:rPr>
          <w:rFonts w:eastAsia="Calibri" w:cs="Arial"/>
          <w:szCs w:val="20"/>
        </w:rPr>
        <w:t>Pravna podlaga</w:t>
      </w:r>
    </w:p>
    <w:p w14:paraId="1F569F87" w14:textId="0E158901" w:rsidR="0064543D" w:rsidRPr="0064543D" w:rsidRDefault="0064543D" w:rsidP="0064543D">
      <w:pPr>
        <w:jc w:val="both"/>
        <w:rPr>
          <w:rFonts w:eastAsia="Calibri" w:cs="Arial"/>
          <w:szCs w:val="20"/>
        </w:rPr>
      </w:pPr>
      <w:r w:rsidRPr="0064543D">
        <w:rPr>
          <w:rFonts w:eastAsia="Calibri" w:cs="Arial"/>
          <w:szCs w:val="20"/>
        </w:rPr>
        <w:t xml:space="preserve">Pravna podlaga za predlagano uredbo je </w:t>
      </w:r>
      <w:r>
        <w:rPr>
          <w:rFonts w:eastAsia="Calibri" w:cs="Arial"/>
          <w:szCs w:val="20"/>
        </w:rPr>
        <w:t>peti odstavek 11. člena Zakona o spodbujanju digitalne vključenosti (Uradni list RS, št. 35/22 in 40/23; v nadaljnjem besedilu: zakon), ki določa, da vlada določi podrobnejšo vsebino načrta spodbujanja digitalne vključenosti</w:t>
      </w:r>
      <w:r w:rsidR="00A85B4B">
        <w:rPr>
          <w:rFonts w:eastAsia="Calibri" w:cs="Arial"/>
          <w:szCs w:val="20"/>
        </w:rPr>
        <w:t xml:space="preserve"> (v nadaljnjem besedilu: načrt)</w:t>
      </w:r>
      <w:r>
        <w:rPr>
          <w:rFonts w:eastAsia="Calibri" w:cs="Arial"/>
          <w:szCs w:val="20"/>
        </w:rPr>
        <w:t>.</w:t>
      </w:r>
    </w:p>
    <w:p w14:paraId="5932BC15" w14:textId="77777777" w:rsidR="0064543D" w:rsidRPr="0064543D" w:rsidRDefault="0064543D" w:rsidP="0064543D">
      <w:pPr>
        <w:jc w:val="both"/>
        <w:rPr>
          <w:rFonts w:eastAsia="Calibri" w:cs="Arial"/>
          <w:szCs w:val="20"/>
        </w:rPr>
      </w:pPr>
    </w:p>
    <w:p w14:paraId="0A665AC2" w14:textId="254BE7FA" w:rsidR="0064543D" w:rsidRPr="0064543D" w:rsidRDefault="0064543D" w:rsidP="0064543D">
      <w:pPr>
        <w:numPr>
          <w:ilvl w:val="0"/>
          <w:numId w:val="31"/>
        </w:numPr>
        <w:ind w:left="426"/>
        <w:jc w:val="both"/>
        <w:rPr>
          <w:rFonts w:eastAsia="Calibri" w:cs="Arial"/>
          <w:szCs w:val="20"/>
        </w:rPr>
      </w:pPr>
      <w:r w:rsidRPr="0064543D">
        <w:rPr>
          <w:rFonts w:eastAsia="Calibri" w:cs="Arial"/>
          <w:szCs w:val="20"/>
        </w:rPr>
        <w:t>Rok za izdajo uredbe, določen</w:t>
      </w:r>
      <w:r w:rsidR="00CF6B52">
        <w:rPr>
          <w:rFonts w:eastAsia="Calibri" w:cs="Arial"/>
          <w:szCs w:val="20"/>
        </w:rPr>
        <w:t xml:space="preserve"> </w:t>
      </w:r>
      <w:r w:rsidRPr="0064543D">
        <w:rPr>
          <w:rFonts w:eastAsia="Calibri" w:cs="Arial"/>
          <w:szCs w:val="20"/>
        </w:rPr>
        <w:t>z zakonom</w:t>
      </w:r>
    </w:p>
    <w:p w14:paraId="0F6ED040" w14:textId="77777777" w:rsidR="00A85B4B" w:rsidRDefault="0064543D" w:rsidP="00A85B4B">
      <w:pPr>
        <w:jc w:val="both"/>
        <w:rPr>
          <w:rFonts w:eastAsia="Calibri" w:cs="Arial"/>
          <w:szCs w:val="20"/>
        </w:rPr>
      </w:pPr>
      <w:r>
        <w:rPr>
          <w:rFonts w:eastAsia="Calibri" w:cs="Arial"/>
          <w:szCs w:val="20"/>
        </w:rPr>
        <w:t>V Zakonu o spodbujanju digitalne vključenosti (Uradni list RS, št. 35/22) je bil določen rok šestih mesecev od uveljavitve zakona (to je do 12. 9. 2022) za sprejem uredbe, s katerim bi se določila podrobnejša vsebina analize spodbujanja digitalne vključenosti in pa tudi podrobnejša vsebina načrta. Zakon o spremembah in dopolnitvah Zakona o spodbujanju digitalne vključenosti</w:t>
      </w:r>
      <w:r w:rsidR="00A85B4B">
        <w:rPr>
          <w:rFonts w:eastAsia="Calibri" w:cs="Arial"/>
          <w:szCs w:val="20"/>
        </w:rPr>
        <w:t xml:space="preserve"> (Uradni list RS, št. 40/23), ki je pričel veljati aprila 2023,</w:t>
      </w:r>
      <w:r>
        <w:rPr>
          <w:rFonts w:eastAsia="Calibri" w:cs="Arial"/>
          <w:szCs w:val="20"/>
        </w:rPr>
        <w:t xml:space="preserve"> je črtal analizo digitalne vključenosti in sprejem uredbe v tem delu, prav tako pa je prinesel določene spremembe v 11. členu zakona, ki ureja načrt</w:t>
      </w:r>
      <w:r w:rsidR="00A85B4B">
        <w:rPr>
          <w:rFonts w:eastAsia="Calibri" w:cs="Arial"/>
          <w:szCs w:val="20"/>
        </w:rPr>
        <w:t>.</w:t>
      </w:r>
    </w:p>
    <w:p w14:paraId="60307355" w14:textId="77777777" w:rsidR="00A85B4B" w:rsidRDefault="00A85B4B" w:rsidP="00A85B4B">
      <w:pPr>
        <w:jc w:val="both"/>
        <w:rPr>
          <w:rFonts w:eastAsia="Calibri" w:cs="Arial"/>
          <w:szCs w:val="20"/>
        </w:rPr>
      </w:pPr>
    </w:p>
    <w:p w14:paraId="69DA5E4E" w14:textId="4C6F4577" w:rsidR="0064543D" w:rsidRPr="00CF6B52" w:rsidRDefault="00CF6B52" w:rsidP="00CF6B52">
      <w:pPr>
        <w:jc w:val="both"/>
        <w:rPr>
          <w:rFonts w:eastAsia="Calibri" w:cs="Arial"/>
          <w:szCs w:val="20"/>
        </w:rPr>
      </w:pPr>
      <w:r w:rsidRPr="00CF6B52">
        <w:rPr>
          <w:rFonts w:eastAsia="Calibri" w:cs="Arial"/>
          <w:szCs w:val="20"/>
        </w:rPr>
        <w:t>3.</w:t>
      </w:r>
      <w:r>
        <w:rPr>
          <w:rFonts w:eastAsia="Calibri" w:cs="Arial"/>
          <w:szCs w:val="20"/>
        </w:rPr>
        <w:t xml:space="preserve"> </w:t>
      </w:r>
      <w:r w:rsidR="0064543D" w:rsidRPr="00CF6B52">
        <w:rPr>
          <w:rFonts w:eastAsia="Calibri" w:cs="Arial"/>
          <w:szCs w:val="20"/>
        </w:rPr>
        <w:t>Splošna obrazložitev predloga uredbe</w:t>
      </w:r>
    </w:p>
    <w:p w14:paraId="12894404" w14:textId="704D9901" w:rsidR="0064543D" w:rsidRDefault="0064543D" w:rsidP="0064543D">
      <w:pPr>
        <w:jc w:val="both"/>
        <w:rPr>
          <w:rFonts w:eastAsia="Calibri" w:cs="Arial"/>
          <w:szCs w:val="20"/>
        </w:rPr>
      </w:pPr>
      <w:r>
        <w:rPr>
          <w:rFonts w:eastAsia="Calibri" w:cs="Arial"/>
          <w:szCs w:val="20"/>
        </w:rPr>
        <w:t>Predlog uredbe določa podrobnejšo vsebino načrta, ki ga sprejme Vlada Republike Slovenije. Vlada mora prvi načrt, ki bo sledil predlogu uredbe, sprejeti do 31. marca 2024.</w:t>
      </w:r>
    </w:p>
    <w:p w14:paraId="030B5344" w14:textId="77777777" w:rsidR="0064543D" w:rsidRPr="0064543D" w:rsidRDefault="0064543D" w:rsidP="0064543D">
      <w:pPr>
        <w:jc w:val="both"/>
        <w:rPr>
          <w:rFonts w:eastAsia="Calibri" w:cs="Arial"/>
          <w:szCs w:val="20"/>
        </w:rPr>
      </w:pPr>
    </w:p>
    <w:p w14:paraId="370306A0" w14:textId="77777777" w:rsidR="0064543D" w:rsidRPr="0064543D" w:rsidRDefault="0064543D" w:rsidP="0064543D">
      <w:pPr>
        <w:jc w:val="both"/>
        <w:rPr>
          <w:rFonts w:eastAsia="Calibri" w:cs="Arial"/>
          <w:szCs w:val="20"/>
        </w:rPr>
      </w:pPr>
      <w:r w:rsidRPr="0064543D">
        <w:rPr>
          <w:rFonts w:eastAsia="Calibri" w:cs="Arial"/>
          <w:szCs w:val="20"/>
        </w:rPr>
        <w:t xml:space="preserve">4. Predstavitev presoje posledic za posamezna področja, če te niso mogle biti celovito predstavljene v osnutku uredbe </w:t>
      </w:r>
    </w:p>
    <w:p w14:paraId="0A21F24F" w14:textId="77777777" w:rsidR="0064543D" w:rsidRPr="0064543D" w:rsidRDefault="0064543D" w:rsidP="0064543D">
      <w:pPr>
        <w:jc w:val="both"/>
        <w:rPr>
          <w:rFonts w:eastAsia="Calibri" w:cs="Arial"/>
          <w:szCs w:val="20"/>
        </w:rPr>
      </w:pPr>
      <w:r w:rsidRPr="0064543D">
        <w:rPr>
          <w:rFonts w:eastAsia="Calibri" w:cs="Arial"/>
          <w:szCs w:val="20"/>
        </w:rPr>
        <w:t>/</w:t>
      </w:r>
    </w:p>
    <w:p w14:paraId="53596D6E" w14:textId="77777777" w:rsidR="0064543D" w:rsidRPr="0064543D" w:rsidRDefault="0064543D" w:rsidP="0064543D">
      <w:pPr>
        <w:jc w:val="both"/>
        <w:rPr>
          <w:rFonts w:eastAsia="Calibri" w:cs="Arial"/>
          <w:szCs w:val="20"/>
        </w:rPr>
      </w:pPr>
    </w:p>
    <w:p w14:paraId="28C7FFA9" w14:textId="77777777" w:rsidR="0064543D" w:rsidRPr="0064543D" w:rsidRDefault="0064543D" w:rsidP="0064543D">
      <w:pPr>
        <w:jc w:val="both"/>
        <w:rPr>
          <w:rFonts w:eastAsia="Calibri"/>
          <w:szCs w:val="20"/>
        </w:rPr>
      </w:pPr>
      <w:r w:rsidRPr="0064543D">
        <w:rPr>
          <w:rFonts w:eastAsia="Calibri" w:cs="Arial"/>
          <w:szCs w:val="20"/>
        </w:rPr>
        <w:t>II.</w:t>
      </w:r>
      <w:r w:rsidRPr="0064543D">
        <w:rPr>
          <w:rFonts w:eastAsia="Calibri"/>
          <w:szCs w:val="20"/>
        </w:rPr>
        <w:t xml:space="preserve"> VSEBINSKA OBRAZLOŽITEV PREDLAGANIH ČLENOV</w:t>
      </w:r>
    </w:p>
    <w:p w14:paraId="1BA7C30C" w14:textId="77777777" w:rsidR="0064543D" w:rsidRPr="0064543D" w:rsidRDefault="0064543D" w:rsidP="0064543D">
      <w:pPr>
        <w:rPr>
          <w:rFonts w:eastAsia="Calibri"/>
        </w:rPr>
      </w:pPr>
    </w:p>
    <w:p w14:paraId="0DF2763C" w14:textId="77777777" w:rsidR="0064543D" w:rsidRPr="0064543D" w:rsidRDefault="0064543D" w:rsidP="0064543D">
      <w:pPr>
        <w:rPr>
          <w:rFonts w:cs="Arial"/>
          <w:bCs/>
          <w:szCs w:val="20"/>
          <w:u w:val="single"/>
        </w:rPr>
      </w:pPr>
      <w:r w:rsidRPr="0064543D">
        <w:rPr>
          <w:rFonts w:cs="Arial"/>
          <w:bCs/>
          <w:szCs w:val="20"/>
          <w:u w:val="single"/>
        </w:rPr>
        <w:t>K 1. členu</w:t>
      </w:r>
    </w:p>
    <w:p w14:paraId="29AE8B3A" w14:textId="7BA829C8" w:rsidR="0064543D" w:rsidRPr="0064543D" w:rsidRDefault="0064543D" w:rsidP="0064543D">
      <w:pPr>
        <w:jc w:val="both"/>
        <w:rPr>
          <w:rFonts w:cs="Arial"/>
          <w:bCs/>
          <w:szCs w:val="20"/>
        </w:rPr>
      </w:pPr>
      <w:r w:rsidRPr="0064543D">
        <w:rPr>
          <w:rFonts w:cs="Arial"/>
          <w:bCs/>
          <w:szCs w:val="20"/>
        </w:rPr>
        <w:t xml:space="preserve">Predlog člena določa vsebino uredbe, to je določitev </w:t>
      </w:r>
      <w:r w:rsidR="00B53325">
        <w:rPr>
          <w:rFonts w:cs="Arial"/>
          <w:bCs/>
          <w:szCs w:val="20"/>
        </w:rPr>
        <w:t>podrobnejše vsebine načrta</w:t>
      </w:r>
      <w:r w:rsidR="00A85B4B">
        <w:rPr>
          <w:rFonts w:cs="Arial"/>
          <w:bCs/>
          <w:szCs w:val="20"/>
        </w:rPr>
        <w:t>.</w:t>
      </w:r>
    </w:p>
    <w:p w14:paraId="28200916" w14:textId="77777777" w:rsidR="0064543D" w:rsidRPr="0064543D" w:rsidRDefault="0064543D" w:rsidP="0064543D">
      <w:pPr>
        <w:jc w:val="both"/>
        <w:rPr>
          <w:rFonts w:cs="Arial"/>
          <w:bCs/>
          <w:szCs w:val="20"/>
        </w:rPr>
      </w:pPr>
    </w:p>
    <w:p w14:paraId="700962BD" w14:textId="77777777" w:rsidR="0064543D" w:rsidRPr="0064543D" w:rsidRDefault="0064543D" w:rsidP="0064543D">
      <w:pPr>
        <w:rPr>
          <w:rFonts w:cs="Arial"/>
          <w:bCs/>
          <w:szCs w:val="20"/>
          <w:u w:val="single"/>
        </w:rPr>
      </w:pPr>
      <w:r w:rsidRPr="0064543D">
        <w:rPr>
          <w:rFonts w:cs="Arial"/>
          <w:bCs/>
          <w:szCs w:val="20"/>
          <w:u w:val="single"/>
        </w:rPr>
        <w:t>K 2. členu</w:t>
      </w:r>
    </w:p>
    <w:p w14:paraId="0735A39B" w14:textId="15971721" w:rsidR="0064543D" w:rsidRDefault="0064543D" w:rsidP="00B53325">
      <w:pPr>
        <w:jc w:val="both"/>
        <w:rPr>
          <w:rFonts w:cs="Arial"/>
          <w:bCs/>
          <w:szCs w:val="20"/>
        </w:rPr>
      </w:pPr>
      <w:r w:rsidRPr="0064543D">
        <w:rPr>
          <w:rFonts w:cs="Arial"/>
          <w:bCs/>
          <w:szCs w:val="20"/>
        </w:rPr>
        <w:t xml:space="preserve">Predlog člena </w:t>
      </w:r>
      <w:r w:rsidR="00B53325">
        <w:rPr>
          <w:rFonts w:cs="Arial"/>
          <w:bCs/>
          <w:szCs w:val="20"/>
        </w:rPr>
        <w:t xml:space="preserve">opredeljuje vsebino, ki mora biti zajeta v načrtu. Predlagane vsebine so podrobneje razčlenjene v 3. do 9. členu uredbe. </w:t>
      </w:r>
      <w:r w:rsidR="00D23DF6">
        <w:rPr>
          <w:rFonts w:cs="Arial"/>
          <w:bCs/>
          <w:szCs w:val="20"/>
        </w:rPr>
        <w:t xml:space="preserve">Predlagana vsebina načrta sledi določbi tretjega odstavka </w:t>
      </w:r>
      <w:r w:rsidR="00CF6B52">
        <w:rPr>
          <w:rFonts w:cs="Arial"/>
          <w:bCs/>
          <w:szCs w:val="20"/>
        </w:rPr>
        <w:t>11</w:t>
      </w:r>
      <w:r w:rsidR="00D23DF6">
        <w:rPr>
          <w:rFonts w:cs="Arial"/>
          <w:bCs/>
          <w:szCs w:val="20"/>
        </w:rPr>
        <w:t xml:space="preserve">. člena zakona, ki določa, da načrt določa ciljno raven digitalnih kompetenc za ciljne skupine, ki se določijo na podlagi meril iz 9. člena tega zakona in kombinacijo ukrepov za spodbujanje, ki naj se v naslednjem dveletnem obdobju izvedejo, da bo raven dosežena, skupaj z ocenjeno višino sredstev, potrebno za vsako skupino ukrepov za spodbujanje.  </w:t>
      </w:r>
    </w:p>
    <w:p w14:paraId="2FD23186" w14:textId="77777777" w:rsidR="0064543D" w:rsidRPr="0064543D" w:rsidRDefault="0064543D" w:rsidP="0064543D">
      <w:pPr>
        <w:jc w:val="both"/>
        <w:rPr>
          <w:rFonts w:cs="Arial"/>
          <w:bCs/>
          <w:szCs w:val="20"/>
        </w:rPr>
      </w:pPr>
    </w:p>
    <w:p w14:paraId="2DC2AEB5" w14:textId="77777777" w:rsidR="0064543D" w:rsidRPr="0064543D" w:rsidRDefault="0064543D" w:rsidP="0064543D">
      <w:pPr>
        <w:rPr>
          <w:rFonts w:cs="Arial"/>
          <w:bCs/>
          <w:szCs w:val="20"/>
          <w:u w:val="single"/>
        </w:rPr>
      </w:pPr>
      <w:r w:rsidRPr="0064543D">
        <w:rPr>
          <w:rFonts w:cs="Arial"/>
          <w:bCs/>
          <w:szCs w:val="20"/>
          <w:u w:val="single"/>
        </w:rPr>
        <w:t>K 3. členu</w:t>
      </w:r>
    </w:p>
    <w:p w14:paraId="19708A23" w14:textId="6E72B6DA" w:rsidR="0064543D" w:rsidRPr="0064543D" w:rsidRDefault="00B53325" w:rsidP="0064543D">
      <w:pPr>
        <w:jc w:val="both"/>
        <w:rPr>
          <w:rFonts w:cs="Arial"/>
          <w:bCs/>
          <w:szCs w:val="20"/>
        </w:rPr>
      </w:pPr>
      <w:r>
        <w:rPr>
          <w:rFonts w:cs="Arial"/>
          <w:bCs/>
          <w:szCs w:val="20"/>
        </w:rPr>
        <w:t>Predlog člena določa vsebine, ki morajo biti zajete v okviru podlag za sprejem načrta, to so podatki o veljavnih nacionalnih predpisih s področja digitalne vključenosti, podatki o strateških dokumentih Republike Slovenije in Evropske unije s tega področja in podatek o obdobju, za katerega velja načrt z navedbo konkretnih datumov (načrt se sicer v skladu z zakonom sprejema za dv</w:t>
      </w:r>
      <w:r w:rsidR="00A85B4B">
        <w:rPr>
          <w:rFonts w:cs="Arial"/>
          <w:bCs/>
          <w:szCs w:val="20"/>
        </w:rPr>
        <w:t>e</w:t>
      </w:r>
      <w:r>
        <w:rPr>
          <w:rFonts w:cs="Arial"/>
          <w:bCs/>
          <w:szCs w:val="20"/>
        </w:rPr>
        <w:t xml:space="preserve">letno obdobje). </w:t>
      </w:r>
    </w:p>
    <w:p w14:paraId="0D700DD3" w14:textId="77777777" w:rsidR="0064543D" w:rsidRPr="0064543D" w:rsidRDefault="0064543D" w:rsidP="0064543D">
      <w:pPr>
        <w:jc w:val="both"/>
        <w:rPr>
          <w:rFonts w:cs="Arial"/>
          <w:bCs/>
          <w:szCs w:val="20"/>
        </w:rPr>
      </w:pPr>
    </w:p>
    <w:p w14:paraId="1ECF1878" w14:textId="12DE0126" w:rsidR="0064543D" w:rsidRDefault="0064543D" w:rsidP="0064543D">
      <w:pPr>
        <w:rPr>
          <w:rFonts w:cs="Arial"/>
          <w:bCs/>
          <w:szCs w:val="20"/>
          <w:u w:val="single"/>
        </w:rPr>
      </w:pPr>
      <w:r w:rsidRPr="0064543D">
        <w:rPr>
          <w:rFonts w:cs="Arial"/>
          <w:bCs/>
          <w:szCs w:val="20"/>
          <w:u w:val="single"/>
        </w:rPr>
        <w:t>K 4. členu</w:t>
      </w:r>
    </w:p>
    <w:p w14:paraId="32E946AF" w14:textId="29EF0A15" w:rsidR="004442C1" w:rsidRDefault="00B53325" w:rsidP="004442C1">
      <w:pPr>
        <w:jc w:val="both"/>
        <w:rPr>
          <w:rFonts w:cs="Arial"/>
          <w:color w:val="000000"/>
          <w:szCs w:val="20"/>
          <w:lang w:eastAsia="sl-SI"/>
        </w:rPr>
      </w:pPr>
      <w:r>
        <w:rPr>
          <w:rFonts w:cs="Arial"/>
          <w:bCs/>
          <w:szCs w:val="20"/>
        </w:rPr>
        <w:t xml:space="preserve">Zakon ne predvideva več priprave analize digitalne vključenosti, saj v skladu s predlaganimi določbami </w:t>
      </w:r>
      <w:r w:rsidR="00A85B4B">
        <w:rPr>
          <w:rFonts w:cs="Arial"/>
          <w:bCs/>
          <w:szCs w:val="20"/>
        </w:rPr>
        <w:t xml:space="preserve">le-ta </w:t>
      </w:r>
      <w:r w:rsidR="00CF6B52">
        <w:rPr>
          <w:rFonts w:cs="Arial"/>
          <w:bCs/>
          <w:szCs w:val="20"/>
        </w:rPr>
        <w:t>ne bi</w:t>
      </w:r>
      <w:r>
        <w:rPr>
          <w:rFonts w:cs="Arial"/>
          <w:bCs/>
          <w:szCs w:val="20"/>
        </w:rPr>
        <w:t xml:space="preserve"> bila izvedljiva. Ne glede na navedeno pa je nujni sestavni del načrta oziroma njegovo izhodišče za načrtovanje ukrepov ocena stanja na področju digitalne vključenosti. </w:t>
      </w:r>
      <w:r w:rsidR="004442C1">
        <w:rPr>
          <w:rFonts w:cs="Arial"/>
          <w:bCs/>
          <w:szCs w:val="20"/>
        </w:rPr>
        <w:t>V okviru ocene stanja se prikažejo razpoložljivi statistični podatki za Republiko Slovenijo po štirih ključnih kategorijah digitalne vključenosti (</w:t>
      </w:r>
      <w:r w:rsidR="004442C1" w:rsidRPr="003736E5">
        <w:rPr>
          <w:rFonts w:cs="Arial"/>
          <w:color w:val="000000"/>
          <w:szCs w:val="20"/>
          <w:lang w:eastAsia="sl-SI"/>
        </w:rPr>
        <w:t>dostopnost infrastrukture in opreme, zaupanje v prednosti digitalne preobrazbe, digitalne kompetence, aktivna vključenost v digitalno družbo</w:t>
      </w:r>
      <w:r w:rsidR="004442C1">
        <w:rPr>
          <w:rFonts w:cs="Arial"/>
          <w:color w:val="000000"/>
          <w:szCs w:val="20"/>
          <w:lang w:eastAsia="sl-SI"/>
        </w:rPr>
        <w:t>)</w:t>
      </w:r>
      <w:r w:rsidR="004442C1" w:rsidRPr="003736E5">
        <w:rPr>
          <w:rFonts w:cs="Arial"/>
          <w:color w:val="000000"/>
          <w:szCs w:val="20"/>
          <w:lang w:eastAsia="sl-SI"/>
        </w:rPr>
        <w:t>.</w:t>
      </w:r>
      <w:r w:rsidR="004442C1">
        <w:rPr>
          <w:rFonts w:cs="Arial"/>
          <w:color w:val="000000"/>
          <w:szCs w:val="20"/>
          <w:lang w:eastAsia="sl-SI"/>
        </w:rPr>
        <w:t xml:space="preserve"> Po vsaki posamezni kategoriji se podatki prikažejo po merilih iz prvega odstavka 9. člena zakona, na podlagi katerih se določajo ciljne skupine (starost, spol, izobrazba, status aktivnosti, stopnja urbanizacije območja, v katerem imajo stalno ali začasno prebivališče in višina dohodka). </w:t>
      </w:r>
    </w:p>
    <w:p w14:paraId="717E6521" w14:textId="77777777" w:rsidR="00A85B4B" w:rsidRDefault="00A85B4B" w:rsidP="004442C1">
      <w:pPr>
        <w:jc w:val="both"/>
        <w:rPr>
          <w:rFonts w:cs="Arial"/>
          <w:color w:val="000000"/>
          <w:szCs w:val="20"/>
          <w:lang w:eastAsia="sl-SI"/>
        </w:rPr>
      </w:pPr>
    </w:p>
    <w:p w14:paraId="3388C7E6" w14:textId="0E86C184" w:rsidR="004442C1" w:rsidRPr="004442C1" w:rsidRDefault="004442C1" w:rsidP="004442C1">
      <w:pPr>
        <w:jc w:val="both"/>
        <w:rPr>
          <w:rFonts w:cs="Arial"/>
          <w:bCs/>
          <w:szCs w:val="20"/>
        </w:rPr>
      </w:pPr>
      <w:r>
        <w:rPr>
          <w:rFonts w:cs="Arial"/>
          <w:color w:val="000000"/>
          <w:szCs w:val="20"/>
          <w:lang w:eastAsia="sl-SI"/>
        </w:rPr>
        <w:t>Bistveni sestavni del ocene stanja je tudi analiza o obstoju manj ugodnega položaja posamezne skupine prebivalstva na področju digitalne vključenosti. Gre za uresničitev zahteve iz tretjega odstavka 9. člena zakona, ki predvideva določitev ciljnih skupin na podlagi predhodno izvedene analize o obstoju manj ugodnega položaja posamezne skupine na področju digitalne vključenosti v skladu z 18. členom Zakona o varstvu pred diskriminacijo (</w:t>
      </w:r>
      <w:r w:rsidR="00FB5BAE">
        <w:rPr>
          <w:rFonts w:cs="Arial"/>
          <w:color w:val="000000"/>
          <w:szCs w:val="20"/>
          <w:lang w:eastAsia="sl-SI"/>
        </w:rPr>
        <w:t xml:space="preserve">Uradni list RS, št. 33/16 in 21/18 – </w:t>
      </w:r>
      <w:proofErr w:type="spellStart"/>
      <w:r w:rsidR="00FB5BAE">
        <w:rPr>
          <w:rFonts w:cs="Arial"/>
          <w:color w:val="000000"/>
          <w:szCs w:val="20"/>
          <w:lang w:eastAsia="sl-SI"/>
        </w:rPr>
        <w:t>ZNOrg</w:t>
      </w:r>
      <w:proofErr w:type="spellEnd"/>
      <w:r w:rsidR="00FB5BAE">
        <w:rPr>
          <w:rFonts w:cs="Arial"/>
          <w:color w:val="000000"/>
          <w:szCs w:val="20"/>
          <w:lang w:eastAsia="sl-SI"/>
        </w:rPr>
        <w:t>). Pozitivna diskriminacija države z ukrepi je namreč dopustna le tam, kjer je na podlagi analize razvidno, da je določena skupina v manj ugodnem položaju in so ukrepi potrebni za zagotovitev enakopravne obravnave. Del analize so tudi identificirani vzroki za slabši položaj posamezne skupine.</w:t>
      </w:r>
      <w:r w:rsidRPr="003736E5">
        <w:rPr>
          <w:rFonts w:cs="Arial"/>
          <w:color w:val="000000"/>
          <w:szCs w:val="20"/>
          <w:lang w:eastAsia="sl-SI"/>
        </w:rPr>
        <w:t xml:space="preserve"> </w:t>
      </w:r>
    </w:p>
    <w:p w14:paraId="01304754" w14:textId="77777777" w:rsidR="0064543D" w:rsidRPr="0064543D" w:rsidRDefault="0064543D" w:rsidP="0064543D">
      <w:pPr>
        <w:jc w:val="both"/>
        <w:rPr>
          <w:rFonts w:cs="Arial"/>
          <w:bCs/>
          <w:szCs w:val="20"/>
        </w:rPr>
      </w:pPr>
    </w:p>
    <w:p w14:paraId="342CFF57" w14:textId="62BA96C7" w:rsidR="0064543D" w:rsidRDefault="0064543D" w:rsidP="0064543D">
      <w:pPr>
        <w:rPr>
          <w:rFonts w:cs="Arial"/>
          <w:bCs/>
          <w:szCs w:val="20"/>
          <w:u w:val="single"/>
        </w:rPr>
      </w:pPr>
      <w:r w:rsidRPr="0064543D">
        <w:rPr>
          <w:rFonts w:cs="Arial"/>
          <w:bCs/>
          <w:szCs w:val="20"/>
          <w:u w:val="single"/>
        </w:rPr>
        <w:t>K 5. členu</w:t>
      </w:r>
    </w:p>
    <w:p w14:paraId="2B37487B" w14:textId="35D11D34" w:rsidR="00FB5BAE" w:rsidRDefault="00FB5BAE" w:rsidP="003D3DDA">
      <w:pPr>
        <w:jc w:val="both"/>
        <w:rPr>
          <w:rFonts w:cs="Arial"/>
          <w:bCs/>
          <w:szCs w:val="20"/>
        </w:rPr>
      </w:pPr>
      <w:r>
        <w:rPr>
          <w:rFonts w:cs="Arial"/>
          <w:bCs/>
          <w:szCs w:val="20"/>
        </w:rPr>
        <w:t xml:space="preserve">V načrtu se v skladu z drugim odstavkom 9. člena zakona določijo ciljne skupine na podlagi zakonskih meril. Ciljne skupine se določijo na podlagi analize, izvedene </w:t>
      </w:r>
      <w:r w:rsidR="00CF6B52">
        <w:rPr>
          <w:rFonts w:cs="Arial"/>
          <w:bCs/>
          <w:szCs w:val="20"/>
        </w:rPr>
        <w:t>v okviru ocene stanja iz prejšnjega člena</w:t>
      </w:r>
      <w:r>
        <w:rPr>
          <w:rFonts w:cs="Arial"/>
          <w:bCs/>
          <w:szCs w:val="20"/>
        </w:rPr>
        <w:t>. Za vsako posamezno ciljno skupino se opiše lastnosti skupine (na podlagi meril – torej npr. starejši na podeželju) in njen obseg.</w:t>
      </w:r>
    </w:p>
    <w:p w14:paraId="37BE0F67" w14:textId="77777777" w:rsidR="0064543D" w:rsidRPr="0064543D" w:rsidRDefault="0064543D" w:rsidP="0064543D">
      <w:pPr>
        <w:jc w:val="both"/>
        <w:rPr>
          <w:rFonts w:cs="Arial"/>
          <w:bCs/>
          <w:szCs w:val="20"/>
        </w:rPr>
      </w:pPr>
    </w:p>
    <w:p w14:paraId="1161C613" w14:textId="0DBCDABE" w:rsidR="0064543D" w:rsidRDefault="0064543D" w:rsidP="0064543D">
      <w:pPr>
        <w:rPr>
          <w:rFonts w:cs="Arial"/>
          <w:bCs/>
          <w:szCs w:val="20"/>
          <w:u w:val="single"/>
        </w:rPr>
      </w:pPr>
      <w:r w:rsidRPr="0064543D">
        <w:rPr>
          <w:rFonts w:cs="Arial"/>
          <w:bCs/>
          <w:szCs w:val="20"/>
          <w:u w:val="single"/>
        </w:rPr>
        <w:t>K 6. členu</w:t>
      </w:r>
    </w:p>
    <w:p w14:paraId="212050CA" w14:textId="1B11481F" w:rsidR="00FB5BAE" w:rsidRPr="0064543D" w:rsidRDefault="00FB5BAE" w:rsidP="00CF6B52">
      <w:pPr>
        <w:jc w:val="both"/>
        <w:rPr>
          <w:rFonts w:cs="Arial"/>
          <w:bCs/>
          <w:szCs w:val="20"/>
        </w:rPr>
      </w:pPr>
      <w:r>
        <w:rPr>
          <w:rFonts w:cs="Arial"/>
          <w:bCs/>
          <w:szCs w:val="20"/>
        </w:rPr>
        <w:t xml:space="preserve">V načrtu se določi tudi ciljna raven digitalnih kompetenc po izvedenih ukrepih, predvidenih z načrtom. Gre za raven digitalnih kompetenc, ki naj bi jo ciljna skupina, ki ji bo posamezen ukrep namenjen, dosegla ob zaključku ukrepa. </w:t>
      </w:r>
    </w:p>
    <w:p w14:paraId="50D4465F" w14:textId="77777777" w:rsidR="0064543D" w:rsidRPr="0064543D" w:rsidRDefault="0064543D" w:rsidP="0064543D">
      <w:pPr>
        <w:jc w:val="both"/>
        <w:rPr>
          <w:rFonts w:cs="Arial"/>
          <w:bCs/>
          <w:szCs w:val="20"/>
        </w:rPr>
      </w:pPr>
    </w:p>
    <w:p w14:paraId="7A9C8373" w14:textId="77777777" w:rsidR="0064543D" w:rsidRPr="0064543D" w:rsidRDefault="0064543D" w:rsidP="0064543D">
      <w:pPr>
        <w:rPr>
          <w:rFonts w:cs="Arial"/>
          <w:bCs/>
          <w:szCs w:val="20"/>
          <w:u w:val="single"/>
        </w:rPr>
      </w:pPr>
      <w:r w:rsidRPr="0064543D">
        <w:rPr>
          <w:rFonts w:cs="Arial"/>
          <w:bCs/>
          <w:szCs w:val="20"/>
          <w:u w:val="single"/>
        </w:rPr>
        <w:t>K 7. členu</w:t>
      </w:r>
    </w:p>
    <w:p w14:paraId="7E47F2FF" w14:textId="451463A6" w:rsidR="0064543D" w:rsidRDefault="00D23DF6" w:rsidP="0064543D">
      <w:pPr>
        <w:jc w:val="both"/>
        <w:rPr>
          <w:rFonts w:cs="Arial"/>
          <w:bCs/>
          <w:szCs w:val="20"/>
        </w:rPr>
      </w:pPr>
      <w:r>
        <w:rPr>
          <w:rFonts w:cs="Arial"/>
          <w:bCs/>
          <w:szCs w:val="20"/>
        </w:rPr>
        <w:t>V načrtu se določijo ukrepi za spodbujanje, pri čemer je treba za vsakega izmed ukrepov navesti delovni naslov, namen ukrepa in kratek opis predvidene vsebine ukrepa.</w:t>
      </w:r>
    </w:p>
    <w:p w14:paraId="3A3FAD66" w14:textId="77777777" w:rsidR="00D23DF6" w:rsidRPr="0064543D" w:rsidRDefault="00D23DF6" w:rsidP="0064543D">
      <w:pPr>
        <w:jc w:val="both"/>
        <w:rPr>
          <w:rFonts w:cs="Arial"/>
          <w:bCs/>
          <w:szCs w:val="20"/>
        </w:rPr>
      </w:pPr>
    </w:p>
    <w:p w14:paraId="29421EAB" w14:textId="5B8FEF81" w:rsidR="0064543D" w:rsidRDefault="0064543D" w:rsidP="0064543D">
      <w:pPr>
        <w:rPr>
          <w:rFonts w:cs="Arial"/>
          <w:bCs/>
          <w:szCs w:val="20"/>
          <w:u w:val="single"/>
        </w:rPr>
      </w:pPr>
      <w:r w:rsidRPr="0064543D">
        <w:rPr>
          <w:rFonts w:cs="Arial"/>
          <w:bCs/>
          <w:szCs w:val="20"/>
          <w:u w:val="single"/>
        </w:rPr>
        <w:t>K 8. členu</w:t>
      </w:r>
    </w:p>
    <w:p w14:paraId="3BE407C6" w14:textId="6ABC19A2" w:rsidR="00B53325" w:rsidRPr="00D23DF6" w:rsidRDefault="00D23DF6" w:rsidP="00CF6B52">
      <w:pPr>
        <w:jc w:val="both"/>
        <w:rPr>
          <w:rFonts w:cs="Arial"/>
          <w:bCs/>
          <w:szCs w:val="20"/>
        </w:rPr>
      </w:pPr>
      <w:r>
        <w:rPr>
          <w:rFonts w:cs="Arial"/>
          <w:bCs/>
          <w:szCs w:val="20"/>
        </w:rPr>
        <w:t>Obvezna sestavina načrta je tudi ocena finančnih posledic načrtovanih ukrepov, ki zajema opredelitev vseh potrebnih finančnih sredstev in pa tudi opredelitev predvidenih finančnih virov financiranja.</w:t>
      </w:r>
    </w:p>
    <w:p w14:paraId="71794564" w14:textId="77777777" w:rsidR="00D23DF6" w:rsidRDefault="00D23DF6" w:rsidP="0064543D">
      <w:pPr>
        <w:rPr>
          <w:rFonts w:cs="Arial"/>
          <w:bCs/>
          <w:szCs w:val="20"/>
          <w:u w:val="single"/>
        </w:rPr>
      </w:pPr>
    </w:p>
    <w:p w14:paraId="5EAF4858" w14:textId="53315BCF" w:rsidR="00B53325" w:rsidRPr="0064543D" w:rsidRDefault="00B53325" w:rsidP="0064543D">
      <w:pPr>
        <w:rPr>
          <w:rFonts w:cs="Arial"/>
          <w:bCs/>
          <w:szCs w:val="20"/>
        </w:rPr>
      </w:pPr>
      <w:r>
        <w:rPr>
          <w:rFonts w:cs="Arial"/>
          <w:bCs/>
          <w:szCs w:val="20"/>
          <w:u w:val="single"/>
        </w:rPr>
        <w:t>K 9. členu</w:t>
      </w:r>
      <w:r w:rsidR="00D23DF6">
        <w:rPr>
          <w:rFonts w:cs="Arial"/>
          <w:bCs/>
          <w:szCs w:val="20"/>
          <w:u w:val="single"/>
        </w:rPr>
        <w:br/>
      </w:r>
      <w:r w:rsidR="00D23DF6">
        <w:rPr>
          <w:rFonts w:cs="Arial"/>
          <w:bCs/>
          <w:szCs w:val="20"/>
        </w:rPr>
        <w:t xml:space="preserve">S ciljem merjenja in spremljanja učinkovitosti izvedenih ukrepov se v načrtu določijo tudi kazalniki </w:t>
      </w:r>
      <w:r w:rsidR="003D3DDA">
        <w:rPr>
          <w:rFonts w:cs="Arial"/>
          <w:bCs/>
          <w:szCs w:val="20"/>
        </w:rPr>
        <w:t>učinka, na podlagi katerih se bo merila učinkovitost predlaganih ukrepov.</w:t>
      </w:r>
    </w:p>
    <w:p w14:paraId="4273D198" w14:textId="77777777" w:rsidR="0064543D" w:rsidRPr="0064543D" w:rsidRDefault="0064543D" w:rsidP="0064543D">
      <w:pPr>
        <w:rPr>
          <w:rFonts w:cs="Arial"/>
          <w:bCs/>
          <w:szCs w:val="20"/>
        </w:rPr>
      </w:pPr>
    </w:p>
    <w:p w14:paraId="703C95B3" w14:textId="28B24F10" w:rsidR="0064543D" w:rsidRPr="0064543D" w:rsidRDefault="0064543D" w:rsidP="0064543D">
      <w:pPr>
        <w:rPr>
          <w:rFonts w:cs="Arial"/>
          <w:bCs/>
          <w:szCs w:val="20"/>
          <w:u w:val="single"/>
        </w:rPr>
      </w:pPr>
      <w:r w:rsidRPr="0064543D">
        <w:rPr>
          <w:rFonts w:cs="Arial"/>
          <w:bCs/>
          <w:szCs w:val="20"/>
          <w:u w:val="single"/>
        </w:rPr>
        <w:t xml:space="preserve">K </w:t>
      </w:r>
      <w:r w:rsidR="00B53325">
        <w:rPr>
          <w:rFonts w:cs="Arial"/>
          <w:bCs/>
          <w:szCs w:val="20"/>
          <w:u w:val="single"/>
        </w:rPr>
        <w:t>10</w:t>
      </w:r>
      <w:r w:rsidRPr="0064543D">
        <w:rPr>
          <w:rFonts w:cs="Arial"/>
          <w:bCs/>
          <w:szCs w:val="20"/>
          <w:u w:val="single"/>
        </w:rPr>
        <w:t>. členu</w:t>
      </w:r>
    </w:p>
    <w:p w14:paraId="5F47D9EE" w14:textId="77777777" w:rsidR="0064543D" w:rsidRPr="0064543D" w:rsidRDefault="0064543D" w:rsidP="0064543D">
      <w:pPr>
        <w:rPr>
          <w:rFonts w:cs="Arial"/>
          <w:b/>
          <w:szCs w:val="20"/>
        </w:rPr>
      </w:pPr>
      <w:r w:rsidRPr="0064543D">
        <w:rPr>
          <w:rFonts w:cs="Arial"/>
          <w:bCs/>
          <w:szCs w:val="20"/>
        </w:rPr>
        <w:t>Predlog člena določa začetek veljavnosti te uredbe, to je petnajsti dan po objavi v Uradnem listu RS.</w:t>
      </w:r>
    </w:p>
    <w:p w14:paraId="62805A7F" w14:textId="77777777" w:rsidR="0064543D" w:rsidRPr="0064543D" w:rsidRDefault="0064543D" w:rsidP="0064543D">
      <w:pPr>
        <w:spacing w:line="240" w:lineRule="auto"/>
        <w:rPr>
          <w:rFonts w:cs="Arial"/>
          <w:szCs w:val="20"/>
        </w:rPr>
      </w:pPr>
    </w:p>
    <w:p w14:paraId="711CAE93" w14:textId="77777777" w:rsidR="0064543D" w:rsidRPr="0064543D" w:rsidRDefault="0064543D" w:rsidP="0064543D">
      <w:pPr>
        <w:rPr>
          <w:rFonts w:cs="Arial"/>
          <w:szCs w:val="20"/>
        </w:rPr>
      </w:pPr>
    </w:p>
    <w:p w14:paraId="6D901447" w14:textId="77777777" w:rsidR="00050AB3" w:rsidRPr="003736E5" w:rsidRDefault="00050AB3" w:rsidP="004C61E5">
      <w:pPr>
        <w:autoSpaceDE w:val="0"/>
        <w:autoSpaceDN w:val="0"/>
        <w:adjustRightInd w:val="0"/>
        <w:spacing w:line="360" w:lineRule="auto"/>
        <w:jc w:val="both"/>
        <w:rPr>
          <w:rFonts w:eastAsiaTheme="minorHAnsi" w:cs="Arial"/>
          <w:szCs w:val="20"/>
        </w:rPr>
      </w:pPr>
    </w:p>
    <w:p w14:paraId="383D8230" w14:textId="77777777" w:rsidR="000B1B70" w:rsidRPr="003736E5" w:rsidRDefault="000B1B70" w:rsidP="004C61E5">
      <w:pPr>
        <w:spacing w:line="360" w:lineRule="auto"/>
        <w:jc w:val="both"/>
        <w:rPr>
          <w:rFonts w:cs="Arial"/>
          <w:szCs w:val="20"/>
        </w:rPr>
      </w:pPr>
    </w:p>
    <w:sectPr w:rsidR="000B1B70" w:rsidRPr="003736E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43AE" w14:textId="77777777" w:rsidR="00F646CD" w:rsidRDefault="00F646CD" w:rsidP="00465CF7">
      <w:pPr>
        <w:spacing w:line="240" w:lineRule="auto"/>
      </w:pPr>
      <w:r>
        <w:separator/>
      </w:r>
    </w:p>
  </w:endnote>
  <w:endnote w:type="continuationSeparator" w:id="0">
    <w:p w14:paraId="7CE9D6D3" w14:textId="77777777" w:rsidR="00F646CD" w:rsidRDefault="00F646CD" w:rsidP="00465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Cambri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8CAC7" w14:textId="77777777" w:rsidR="00F646CD" w:rsidRDefault="00F646CD" w:rsidP="00465CF7">
      <w:pPr>
        <w:spacing w:line="240" w:lineRule="auto"/>
      </w:pPr>
      <w:r>
        <w:separator/>
      </w:r>
    </w:p>
  </w:footnote>
  <w:footnote w:type="continuationSeparator" w:id="0">
    <w:p w14:paraId="2CF71F1F" w14:textId="77777777" w:rsidR="00F646CD" w:rsidRDefault="00F646CD" w:rsidP="00465C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0749" w14:textId="6DD295F1" w:rsidR="00465CF7" w:rsidRPr="00465CF7" w:rsidRDefault="00465CF7" w:rsidP="00465CF7">
    <w:pPr>
      <w:pStyle w:val="Glava"/>
      <w:jc w:val="right"/>
      <w:rPr>
        <w:i/>
        <w:iCs/>
      </w:rPr>
    </w:pPr>
    <w:r>
      <w:t>OSNUTEK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865"/>
    <w:multiLevelType w:val="hybridMultilevel"/>
    <w:tmpl w:val="86B8E3FC"/>
    <w:lvl w:ilvl="0" w:tplc="C0CE159C">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640486"/>
    <w:multiLevelType w:val="hybridMultilevel"/>
    <w:tmpl w:val="F9084130"/>
    <w:lvl w:ilvl="0" w:tplc="4B4E85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3533ED"/>
    <w:multiLevelType w:val="hybridMultilevel"/>
    <w:tmpl w:val="81B44ADE"/>
    <w:lvl w:ilvl="0" w:tplc="C8E22A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3A2527"/>
    <w:multiLevelType w:val="hybridMultilevel"/>
    <w:tmpl w:val="94A058D4"/>
    <w:lvl w:ilvl="0" w:tplc="E7DC907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0E81A02"/>
    <w:multiLevelType w:val="hybridMultilevel"/>
    <w:tmpl w:val="53204686"/>
    <w:lvl w:ilvl="0" w:tplc="BDEA29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5C6696"/>
    <w:multiLevelType w:val="hybridMultilevel"/>
    <w:tmpl w:val="DAD227DC"/>
    <w:lvl w:ilvl="0" w:tplc="14FC8EB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B924BC9"/>
    <w:multiLevelType w:val="hybridMultilevel"/>
    <w:tmpl w:val="D2EADE54"/>
    <w:lvl w:ilvl="0" w:tplc="341EB5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C6D0FAC"/>
    <w:multiLevelType w:val="hybridMultilevel"/>
    <w:tmpl w:val="F1341D76"/>
    <w:lvl w:ilvl="0" w:tplc="3F72491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CD10C0F"/>
    <w:multiLevelType w:val="hybridMultilevel"/>
    <w:tmpl w:val="7AE2910A"/>
    <w:lvl w:ilvl="0" w:tplc="A9D84F6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BC7D4D"/>
    <w:multiLevelType w:val="hybridMultilevel"/>
    <w:tmpl w:val="08ACF98A"/>
    <w:lvl w:ilvl="0" w:tplc="0F8E37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1BE479F"/>
    <w:multiLevelType w:val="hybridMultilevel"/>
    <w:tmpl w:val="B7329066"/>
    <w:lvl w:ilvl="0" w:tplc="4370B0C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4745C70"/>
    <w:multiLevelType w:val="hybridMultilevel"/>
    <w:tmpl w:val="18BA18DC"/>
    <w:lvl w:ilvl="0" w:tplc="228A85D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8B45329"/>
    <w:multiLevelType w:val="hybridMultilevel"/>
    <w:tmpl w:val="25B2830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0EE71CA"/>
    <w:multiLevelType w:val="hybridMultilevel"/>
    <w:tmpl w:val="4C54BB7E"/>
    <w:lvl w:ilvl="0" w:tplc="314CA044">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1F8640C"/>
    <w:multiLevelType w:val="hybridMultilevel"/>
    <w:tmpl w:val="88E8D46C"/>
    <w:lvl w:ilvl="0" w:tplc="DB26C94A">
      <w:start w:val="1"/>
      <w:numFmt w:val="decimal"/>
      <w:pStyle w:val="tevilkalena"/>
      <w:lvlText w:val="%1. člen"/>
      <w:lvlJc w:val="left"/>
      <w:pPr>
        <w:ind w:left="360" w:hanging="360"/>
      </w:pPr>
    </w:lvl>
    <w:lvl w:ilvl="1" w:tplc="02BC56CE">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2165A17"/>
    <w:multiLevelType w:val="hybridMultilevel"/>
    <w:tmpl w:val="8136754E"/>
    <w:lvl w:ilvl="0" w:tplc="91B4412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FD2AA0"/>
    <w:multiLevelType w:val="hybridMultilevel"/>
    <w:tmpl w:val="60B0A016"/>
    <w:lvl w:ilvl="0" w:tplc="2A207CD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4E122B"/>
    <w:multiLevelType w:val="hybridMultilevel"/>
    <w:tmpl w:val="D96A39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CD054A2"/>
    <w:multiLevelType w:val="hybridMultilevel"/>
    <w:tmpl w:val="247851BC"/>
    <w:lvl w:ilvl="0" w:tplc="9B4ADA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0305C53"/>
    <w:multiLevelType w:val="hybridMultilevel"/>
    <w:tmpl w:val="FAD6792E"/>
    <w:lvl w:ilvl="0" w:tplc="5C50D7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5826CD9"/>
    <w:multiLevelType w:val="hybridMultilevel"/>
    <w:tmpl w:val="39783C54"/>
    <w:lvl w:ilvl="0" w:tplc="11424E5A">
      <w:start w:val="1"/>
      <w:numFmt w:val="decimal"/>
      <w:lvlText w:val="%1."/>
      <w:lvlJc w:val="left"/>
      <w:pPr>
        <w:ind w:left="810" w:hanging="4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C8F7B01"/>
    <w:multiLevelType w:val="hybridMultilevel"/>
    <w:tmpl w:val="01463582"/>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1D52AB"/>
    <w:multiLevelType w:val="hybridMultilevel"/>
    <w:tmpl w:val="CB2E3B10"/>
    <w:lvl w:ilvl="0" w:tplc="62FCEB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E09214F"/>
    <w:multiLevelType w:val="hybridMultilevel"/>
    <w:tmpl w:val="95B49784"/>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08A3F74"/>
    <w:multiLevelType w:val="hybridMultilevel"/>
    <w:tmpl w:val="BC92B8F4"/>
    <w:lvl w:ilvl="0" w:tplc="879CD5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24A5977"/>
    <w:multiLevelType w:val="hybridMultilevel"/>
    <w:tmpl w:val="52F855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39F7B07"/>
    <w:multiLevelType w:val="hybridMultilevel"/>
    <w:tmpl w:val="700E4DFE"/>
    <w:lvl w:ilvl="0" w:tplc="A720EA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BFF2A04"/>
    <w:multiLevelType w:val="hybridMultilevel"/>
    <w:tmpl w:val="ECF62748"/>
    <w:lvl w:ilvl="0" w:tplc="5AD2A1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C68682F"/>
    <w:multiLevelType w:val="hybridMultilevel"/>
    <w:tmpl w:val="7CA8D7E8"/>
    <w:lvl w:ilvl="0" w:tplc="FDB0D0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09869971">
    <w:abstractNumId w:val="14"/>
  </w:num>
  <w:num w:numId="2" w16cid:durableId="1421834994">
    <w:abstractNumId w:val="14"/>
  </w:num>
  <w:num w:numId="3" w16cid:durableId="93939777">
    <w:abstractNumId w:val="13"/>
  </w:num>
  <w:num w:numId="4" w16cid:durableId="1717121348">
    <w:abstractNumId w:val="14"/>
  </w:num>
  <w:num w:numId="5" w16cid:durableId="79453893">
    <w:abstractNumId w:val="6"/>
  </w:num>
  <w:num w:numId="6" w16cid:durableId="1845898851">
    <w:abstractNumId w:val="8"/>
  </w:num>
  <w:num w:numId="7" w16cid:durableId="696351159">
    <w:abstractNumId w:val="24"/>
  </w:num>
  <w:num w:numId="8" w16cid:durableId="1496191377">
    <w:abstractNumId w:val="27"/>
  </w:num>
  <w:num w:numId="9" w16cid:durableId="976106603">
    <w:abstractNumId w:val="19"/>
  </w:num>
  <w:num w:numId="10" w16cid:durableId="519272330">
    <w:abstractNumId w:val="15"/>
  </w:num>
  <w:num w:numId="11" w16cid:durableId="1104156945">
    <w:abstractNumId w:val="18"/>
  </w:num>
  <w:num w:numId="12" w16cid:durableId="279915644">
    <w:abstractNumId w:val="4"/>
  </w:num>
  <w:num w:numId="13" w16cid:durableId="663095654">
    <w:abstractNumId w:val="22"/>
  </w:num>
  <w:num w:numId="14" w16cid:durableId="256712258">
    <w:abstractNumId w:val="11"/>
  </w:num>
  <w:num w:numId="15" w16cid:durableId="1427457639">
    <w:abstractNumId w:val="16"/>
  </w:num>
  <w:num w:numId="16" w16cid:durableId="2070807844">
    <w:abstractNumId w:val="2"/>
  </w:num>
  <w:num w:numId="17" w16cid:durableId="1882086908">
    <w:abstractNumId w:val="26"/>
  </w:num>
  <w:num w:numId="18" w16cid:durableId="1276521431">
    <w:abstractNumId w:val="1"/>
  </w:num>
  <w:num w:numId="19" w16cid:durableId="1108164522">
    <w:abstractNumId w:val="10"/>
  </w:num>
  <w:num w:numId="20" w16cid:durableId="1732653362">
    <w:abstractNumId w:val="28"/>
  </w:num>
  <w:num w:numId="21" w16cid:durableId="1022784206">
    <w:abstractNumId w:val="5"/>
  </w:num>
  <w:num w:numId="22" w16cid:durableId="1789352446">
    <w:abstractNumId w:val="7"/>
  </w:num>
  <w:num w:numId="23" w16cid:durableId="1338921922">
    <w:abstractNumId w:val="9"/>
  </w:num>
  <w:num w:numId="24" w16cid:durableId="2063943339">
    <w:abstractNumId w:val="0"/>
  </w:num>
  <w:num w:numId="25" w16cid:durableId="741565869">
    <w:abstractNumId w:val="25"/>
  </w:num>
  <w:num w:numId="26" w16cid:durableId="1704162291">
    <w:abstractNumId w:val="20"/>
  </w:num>
  <w:num w:numId="27" w16cid:durableId="390270464">
    <w:abstractNumId w:val="21"/>
  </w:num>
  <w:num w:numId="28" w16cid:durableId="972906016">
    <w:abstractNumId w:val="23"/>
  </w:num>
  <w:num w:numId="29" w16cid:durableId="1206406279">
    <w:abstractNumId w:val="12"/>
  </w:num>
  <w:num w:numId="30" w16cid:durableId="1404327742">
    <w:abstractNumId w:val="3"/>
  </w:num>
  <w:num w:numId="31" w16cid:durableId="6459386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70"/>
    <w:rsid w:val="00050AB3"/>
    <w:rsid w:val="00062135"/>
    <w:rsid w:val="000B093E"/>
    <w:rsid w:val="000B1B70"/>
    <w:rsid w:val="000F03D9"/>
    <w:rsid w:val="001321C7"/>
    <w:rsid w:val="00176B39"/>
    <w:rsid w:val="001933F3"/>
    <w:rsid w:val="001B5832"/>
    <w:rsid w:val="001C325D"/>
    <w:rsid w:val="001C5DFF"/>
    <w:rsid w:val="0025361A"/>
    <w:rsid w:val="002D3D5B"/>
    <w:rsid w:val="002F4669"/>
    <w:rsid w:val="0031285F"/>
    <w:rsid w:val="00324F2B"/>
    <w:rsid w:val="00336083"/>
    <w:rsid w:val="00356298"/>
    <w:rsid w:val="003736E5"/>
    <w:rsid w:val="0038697F"/>
    <w:rsid w:val="003D3D14"/>
    <w:rsid w:val="003D3DDA"/>
    <w:rsid w:val="0041080D"/>
    <w:rsid w:val="00425125"/>
    <w:rsid w:val="004442C1"/>
    <w:rsid w:val="004578B1"/>
    <w:rsid w:val="00465CF7"/>
    <w:rsid w:val="0048369A"/>
    <w:rsid w:val="004B5BF5"/>
    <w:rsid w:val="004C61E5"/>
    <w:rsid w:val="004D6429"/>
    <w:rsid w:val="004E7F6E"/>
    <w:rsid w:val="005A3428"/>
    <w:rsid w:val="005B3D8B"/>
    <w:rsid w:val="005E7AA6"/>
    <w:rsid w:val="005F1251"/>
    <w:rsid w:val="005F3399"/>
    <w:rsid w:val="00623385"/>
    <w:rsid w:val="0064543D"/>
    <w:rsid w:val="00662508"/>
    <w:rsid w:val="00672F6C"/>
    <w:rsid w:val="006A4C15"/>
    <w:rsid w:val="006A68D3"/>
    <w:rsid w:val="006C2A19"/>
    <w:rsid w:val="007738B0"/>
    <w:rsid w:val="00783C3A"/>
    <w:rsid w:val="007D6167"/>
    <w:rsid w:val="00843646"/>
    <w:rsid w:val="008A6899"/>
    <w:rsid w:val="009154DF"/>
    <w:rsid w:val="009607F4"/>
    <w:rsid w:val="009A67C4"/>
    <w:rsid w:val="009C22B9"/>
    <w:rsid w:val="009C70DC"/>
    <w:rsid w:val="009D67A6"/>
    <w:rsid w:val="009E4339"/>
    <w:rsid w:val="00A85B4B"/>
    <w:rsid w:val="00AA1133"/>
    <w:rsid w:val="00AD6CDB"/>
    <w:rsid w:val="00B247E2"/>
    <w:rsid w:val="00B32EF7"/>
    <w:rsid w:val="00B53325"/>
    <w:rsid w:val="00B73C83"/>
    <w:rsid w:val="00B75725"/>
    <w:rsid w:val="00B909D9"/>
    <w:rsid w:val="00BA7F7B"/>
    <w:rsid w:val="00BE2052"/>
    <w:rsid w:val="00BF3248"/>
    <w:rsid w:val="00C1173D"/>
    <w:rsid w:val="00C504D5"/>
    <w:rsid w:val="00C64AB7"/>
    <w:rsid w:val="00C9215A"/>
    <w:rsid w:val="00CE51AC"/>
    <w:rsid w:val="00CF6B52"/>
    <w:rsid w:val="00D23DF6"/>
    <w:rsid w:val="00D420C3"/>
    <w:rsid w:val="00D4379A"/>
    <w:rsid w:val="00DA4E07"/>
    <w:rsid w:val="00DC739E"/>
    <w:rsid w:val="00DD1FBF"/>
    <w:rsid w:val="00E01F8C"/>
    <w:rsid w:val="00E04FB5"/>
    <w:rsid w:val="00E649D5"/>
    <w:rsid w:val="00EA17A1"/>
    <w:rsid w:val="00F31ABE"/>
    <w:rsid w:val="00F368BD"/>
    <w:rsid w:val="00F646CD"/>
    <w:rsid w:val="00F82382"/>
    <w:rsid w:val="00FB5BAE"/>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640E"/>
  <w15:chartTrackingRefBased/>
  <w15:docId w15:val="{B6161E18-E27C-4D2C-977E-1F2F2AFA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B1B70"/>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0B1B70"/>
    <w:pPr>
      <w:tabs>
        <w:tab w:val="left" w:pos="1701"/>
      </w:tabs>
    </w:pPr>
    <w:rPr>
      <w:szCs w:val="20"/>
      <w:lang w:eastAsia="sl-SI"/>
    </w:rPr>
  </w:style>
  <w:style w:type="paragraph" w:customStyle="1" w:styleId="besedilolenabrezodstavkov">
    <w:name w:val="besedilo člena brez odstavkov"/>
    <w:basedOn w:val="Navaden"/>
    <w:next w:val="Navaden"/>
    <w:qFormat/>
    <w:rsid w:val="000B1B70"/>
    <w:pPr>
      <w:spacing w:before="120" w:after="120" w:line="240" w:lineRule="auto"/>
      <w:jc w:val="both"/>
    </w:pPr>
    <w:rPr>
      <w:rFonts w:eastAsia="Calibri"/>
      <w:szCs w:val="20"/>
    </w:rPr>
  </w:style>
  <w:style w:type="paragraph" w:customStyle="1" w:styleId="naslovlena">
    <w:name w:val="naslov člena"/>
    <w:basedOn w:val="Navaden"/>
    <w:next w:val="Navaden"/>
    <w:qFormat/>
    <w:rsid w:val="000B1B70"/>
    <w:pPr>
      <w:keepNext/>
      <w:keepLines/>
      <w:spacing w:before="120" w:after="120" w:line="240" w:lineRule="auto"/>
      <w:jc w:val="center"/>
    </w:pPr>
    <w:rPr>
      <w:rFonts w:eastAsia="Calibri"/>
      <w:szCs w:val="20"/>
    </w:rPr>
  </w:style>
  <w:style w:type="paragraph" w:customStyle="1" w:styleId="tevilkalena">
    <w:name w:val="številka člena"/>
    <w:basedOn w:val="Navaden"/>
    <w:next w:val="Navaden"/>
    <w:qFormat/>
    <w:rsid w:val="000B1B70"/>
    <w:pPr>
      <w:keepNext/>
      <w:numPr>
        <w:numId w:val="1"/>
      </w:numPr>
      <w:spacing w:before="240" w:after="120" w:line="240" w:lineRule="auto"/>
      <w:jc w:val="center"/>
    </w:pPr>
    <w:rPr>
      <w:rFonts w:eastAsia="Calibri"/>
      <w:szCs w:val="20"/>
    </w:rPr>
  </w:style>
  <w:style w:type="paragraph" w:styleId="Odstavekseznama">
    <w:name w:val="List Paragraph"/>
    <w:basedOn w:val="Navaden"/>
    <w:uiPriority w:val="34"/>
    <w:qFormat/>
    <w:rsid w:val="009154DF"/>
    <w:pPr>
      <w:spacing w:after="160" w:line="259" w:lineRule="auto"/>
      <w:ind w:left="720"/>
      <w:contextualSpacing/>
    </w:pPr>
    <w:rPr>
      <w:rFonts w:asciiTheme="minorHAnsi" w:eastAsiaTheme="minorHAnsi" w:hAnsiTheme="minorHAnsi" w:cstheme="minorBidi"/>
      <w:sz w:val="22"/>
      <w:szCs w:val="22"/>
    </w:rPr>
  </w:style>
  <w:style w:type="character" w:styleId="Pripombasklic">
    <w:name w:val="annotation reference"/>
    <w:basedOn w:val="Privzetapisavaodstavka"/>
    <w:uiPriority w:val="99"/>
    <w:semiHidden/>
    <w:unhideWhenUsed/>
    <w:rsid w:val="00B32EF7"/>
    <w:rPr>
      <w:sz w:val="16"/>
      <w:szCs w:val="16"/>
    </w:rPr>
  </w:style>
  <w:style w:type="paragraph" w:styleId="Pripombabesedilo">
    <w:name w:val="annotation text"/>
    <w:basedOn w:val="Navaden"/>
    <w:link w:val="PripombabesediloZnak"/>
    <w:uiPriority w:val="99"/>
    <w:semiHidden/>
    <w:unhideWhenUsed/>
    <w:rsid w:val="00B32EF7"/>
    <w:pPr>
      <w:spacing w:line="240" w:lineRule="auto"/>
    </w:pPr>
    <w:rPr>
      <w:szCs w:val="20"/>
    </w:rPr>
  </w:style>
  <w:style w:type="character" w:customStyle="1" w:styleId="PripombabesediloZnak">
    <w:name w:val="Pripomba – besedilo Znak"/>
    <w:basedOn w:val="Privzetapisavaodstavka"/>
    <w:link w:val="Pripombabesedilo"/>
    <w:uiPriority w:val="99"/>
    <w:semiHidden/>
    <w:rsid w:val="00B32EF7"/>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32EF7"/>
    <w:rPr>
      <w:b/>
      <w:bCs/>
    </w:rPr>
  </w:style>
  <w:style w:type="character" w:customStyle="1" w:styleId="ZadevapripombeZnak">
    <w:name w:val="Zadeva pripombe Znak"/>
    <w:basedOn w:val="PripombabesediloZnak"/>
    <w:link w:val="Zadevapripombe"/>
    <w:uiPriority w:val="99"/>
    <w:semiHidden/>
    <w:rsid w:val="00B32EF7"/>
    <w:rPr>
      <w:rFonts w:ascii="Arial" w:eastAsia="Times New Roman" w:hAnsi="Arial" w:cs="Times New Roman"/>
      <w:b/>
      <w:bCs/>
      <w:sz w:val="20"/>
      <w:szCs w:val="20"/>
    </w:rPr>
  </w:style>
  <w:style w:type="paragraph" w:customStyle="1" w:styleId="odstavek">
    <w:name w:val="odstavek"/>
    <w:basedOn w:val="Navaden"/>
    <w:rsid w:val="00D420C3"/>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1B5832"/>
    <w:pPr>
      <w:spacing w:after="0" w:line="240" w:lineRule="auto"/>
    </w:pPr>
    <w:rPr>
      <w:rFonts w:ascii="Arial" w:eastAsia="Times New Roman" w:hAnsi="Arial" w:cs="Times New Roman"/>
      <w:sz w:val="20"/>
      <w:szCs w:val="24"/>
    </w:rPr>
  </w:style>
  <w:style w:type="paragraph" w:customStyle="1" w:styleId="tevilnatoka">
    <w:name w:val="tevilnatoka"/>
    <w:basedOn w:val="Navaden"/>
    <w:rsid w:val="006A68D3"/>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iPriority w:val="99"/>
    <w:unhideWhenUsed/>
    <w:rsid w:val="00465CF7"/>
    <w:pPr>
      <w:tabs>
        <w:tab w:val="center" w:pos="4536"/>
        <w:tab w:val="right" w:pos="9072"/>
      </w:tabs>
      <w:spacing w:line="240" w:lineRule="auto"/>
    </w:pPr>
  </w:style>
  <w:style w:type="character" w:customStyle="1" w:styleId="GlavaZnak">
    <w:name w:val="Glava Znak"/>
    <w:basedOn w:val="Privzetapisavaodstavka"/>
    <w:link w:val="Glava"/>
    <w:uiPriority w:val="99"/>
    <w:rsid w:val="00465CF7"/>
    <w:rPr>
      <w:rFonts w:ascii="Arial" w:eastAsia="Times New Roman" w:hAnsi="Arial" w:cs="Times New Roman"/>
      <w:sz w:val="20"/>
      <w:szCs w:val="24"/>
    </w:rPr>
  </w:style>
  <w:style w:type="paragraph" w:styleId="Noga">
    <w:name w:val="footer"/>
    <w:basedOn w:val="Navaden"/>
    <w:link w:val="NogaZnak"/>
    <w:uiPriority w:val="99"/>
    <w:unhideWhenUsed/>
    <w:rsid w:val="00465CF7"/>
    <w:pPr>
      <w:tabs>
        <w:tab w:val="center" w:pos="4536"/>
        <w:tab w:val="right" w:pos="9072"/>
      </w:tabs>
      <w:spacing w:line="240" w:lineRule="auto"/>
    </w:pPr>
  </w:style>
  <w:style w:type="character" w:customStyle="1" w:styleId="NogaZnak">
    <w:name w:val="Noga Znak"/>
    <w:basedOn w:val="Privzetapisavaodstavka"/>
    <w:link w:val="Noga"/>
    <w:uiPriority w:val="99"/>
    <w:rsid w:val="00465CF7"/>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70528">
      <w:bodyDiv w:val="1"/>
      <w:marLeft w:val="0"/>
      <w:marRight w:val="0"/>
      <w:marTop w:val="0"/>
      <w:marBottom w:val="0"/>
      <w:divBdr>
        <w:top w:val="none" w:sz="0" w:space="0" w:color="auto"/>
        <w:left w:val="none" w:sz="0" w:space="0" w:color="auto"/>
        <w:bottom w:val="none" w:sz="0" w:space="0" w:color="auto"/>
        <w:right w:val="none" w:sz="0" w:space="0" w:color="auto"/>
      </w:divBdr>
    </w:div>
    <w:div w:id="1222793960">
      <w:bodyDiv w:val="1"/>
      <w:marLeft w:val="0"/>
      <w:marRight w:val="0"/>
      <w:marTop w:val="0"/>
      <w:marBottom w:val="0"/>
      <w:divBdr>
        <w:top w:val="none" w:sz="0" w:space="0" w:color="auto"/>
        <w:left w:val="none" w:sz="0" w:space="0" w:color="auto"/>
        <w:bottom w:val="none" w:sz="0" w:space="0" w:color="auto"/>
        <w:right w:val="none" w:sz="0" w:space="0" w:color="auto"/>
      </w:divBdr>
    </w:div>
    <w:div w:id="13726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1535</Words>
  <Characters>8755</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Močnik</dc:creator>
  <cp:keywords/>
  <dc:description/>
  <cp:lastModifiedBy>Barbara Horvat</cp:lastModifiedBy>
  <cp:revision>2</cp:revision>
  <cp:lastPrinted>2023-04-24T07:26:00Z</cp:lastPrinted>
  <dcterms:created xsi:type="dcterms:W3CDTF">2023-06-06T08:00:00Z</dcterms:created>
  <dcterms:modified xsi:type="dcterms:W3CDTF">2023-06-06T08:00:00Z</dcterms:modified>
</cp:coreProperties>
</file>